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2024年部门预算信息公开目录</w:t>
      </w:r>
    </w:p>
    <w:p>
      <w:pPr>
        <w:jc w:val="center"/>
      </w:pPr>
    </w:p>
    <w:p>
      <w:r>
        <w:rPr>
          <w:rFonts w:ascii="方正楷体_GBK" w:hAnsi="方正楷体_GBK" w:eastAsia="方正楷体_GBK" w:cs="方正楷体_GBK"/>
          <w:b/>
          <w:color w:val="000000"/>
          <w:sz w:val="28"/>
        </w:rPr>
        <w:t>部门预算公开表</w:t>
      </w:r>
    </w:p>
    <w:p>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2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2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2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2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2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pPr>
        <w:pStyle w:val="2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2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2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2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27"/>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pPr>
        <w:pStyle w:val="27"/>
        <w:tabs>
          <w:tab w:val="right" w:leader="dot" w:pos="14562"/>
        </w:tabs>
      </w:pPr>
      <w:r>
        <w:fldChar w:fldCharType="begin"/>
      </w:r>
      <w:r>
        <w:instrText xml:space="preserve"> HYPERLINK \l "_Toc_3_3_0000000016" </w:instrText>
      </w:r>
      <w:r>
        <w:fldChar w:fldCharType="separate"/>
      </w:r>
      <w:r>
        <w:rPr>
          <w:rFonts w:hint="eastAsia" w:eastAsiaTheme="minorEastAsia"/>
          <w:lang w:eastAsia="zh-CN"/>
        </w:rPr>
        <w:t>六</w:t>
      </w:r>
      <w:r>
        <w:t>、部门项目预算安排情况及绩效目标</w:t>
      </w:r>
      <w:r>
        <w:tab/>
      </w:r>
      <w:r>
        <w:fldChar w:fldCharType="begin"/>
      </w:r>
      <w:r>
        <w:instrText xml:space="preserve">PAGEREF _Toc_3_3_0000000016 \h</w:instrText>
      </w:r>
      <w:r>
        <w:fldChar w:fldCharType="separate"/>
      </w:r>
      <w:r>
        <w:t>2</w:t>
      </w:r>
      <w:r>
        <w:rPr>
          <w:rFonts w:hint="eastAsia" w:eastAsiaTheme="minorEastAsia"/>
          <w:lang w:eastAsia="zh-CN"/>
        </w:rPr>
        <w:t>4</w:t>
      </w:r>
      <w:r>
        <w:fldChar w:fldCharType="end"/>
      </w:r>
      <w:r>
        <w:fldChar w:fldCharType="end"/>
      </w:r>
    </w:p>
    <w:p>
      <w:pPr>
        <w:pStyle w:val="27"/>
        <w:tabs>
          <w:tab w:val="right" w:leader="dot" w:pos="14562"/>
        </w:tabs>
      </w:pPr>
      <w:r>
        <w:fldChar w:fldCharType="begin"/>
      </w:r>
      <w:r>
        <w:instrText xml:space="preserve"> HYPERLINK \l "_Toc_3_3_0000000017" </w:instrText>
      </w:r>
      <w:r>
        <w:fldChar w:fldCharType="separate"/>
      </w:r>
      <w:r>
        <w:rPr>
          <w:rFonts w:hint="eastAsia" w:eastAsiaTheme="minorEastAsia"/>
          <w:lang w:eastAsia="zh-CN"/>
        </w:rPr>
        <w:t>七</w:t>
      </w:r>
      <w:r>
        <w:t>、政府采购预算情况</w:t>
      </w:r>
      <w:r>
        <w:tab/>
      </w:r>
      <w:r>
        <w:fldChar w:fldCharType="begin"/>
      </w:r>
      <w:r>
        <w:instrText xml:space="preserve">PAGEREF _Toc_3_3_0000000017 \h</w:instrText>
      </w:r>
      <w:r>
        <w:fldChar w:fldCharType="separate"/>
      </w:r>
      <w:r>
        <w:t>3</w:t>
      </w:r>
      <w:r>
        <w:rPr>
          <w:rFonts w:hint="eastAsia" w:eastAsiaTheme="minorEastAsia"/>
          <w:lang w:eastAsia="zh-CN"/>
        </w:rPr>
        <w:t>9</w:t>
      </w:r>
      <w:r>
        <w:fldChar w:fldCharType="end"/>
      </w:r>
      <w:r>
        <w:fldChar w:fldCharType="end"/>
      </w:r>
    </w:p>
    <w:p>
      <w:pPr>
        <w:pStyle w:val="27"/>
        <w:tabs>
          <w:tab w:val="right" w:leader="dot" w:pos="14562"/>
        </w:tabs>
      </w:pPr>
      <w:r>
        <w:fldChar w:fldCharType="begin"/>
      </w:r>
      <w:r>
        <w:instrText xml:space="preserve"> HYPERLINK \l "_Toc_3_3_0000000018" </w:instrText>
      </w:r>
      <w:r>
        <w:fldChar w:fldCharType="separate"/>
      </w:r>
      <w:r>
        <w:rPr>
          <w:rFonts w:hint="eastAsia" w:eastAsiaTheme="minorEastAsia"/>
          <w:lang w:eastAsia="zh-CN"/>
        </w:rPr>
        <w:t>八</w:t>
      </w:r>
      <w:r>
        <w:t>、国有资产信息</w:t>
      </w:r>
      <w:r>
        <w:tab/>
      </w:r>
      <w:r>
        <w:rPr>
          <w:rFonts w:hint="eastAsia" w:eastAsiaTheme="minorEastAsia"/>
          <w:lang w:eastAsia="zh-CN"/>
        </w:rPr>
        <w:t>40</w:t>
      </w:r>
      <w:r>
        <w:rPr>
          <w:rFonts w:hint="eastAsia" w:eastAsiaTheme="minorEastAsia"/>
          <w:lang w:eastAsia="zh-CN"/>
        </w:rPr>
        <w:fldChar w:fldCharType="end"/>
      </w:r>
    </w:p>
    <w:p>
      <w:pPr>
        <w:pStyle w:val="27"/>
        <w:tabs>
          <w:tab w:val="right" w:leader="dot" w:pos="14562"/>
        </w:tabs>
      </w:pPr>
      <w:r>
        <w:fldChar w:fldCharType="begin"/>
      </w:r>
      <w:r>
        <w:instrText xml:space="preserve"> HYPERLINK \l "_Toc_3_3_0000000019" </w:instrText>
      </w:r>
      <w:r>
        <w:fldChar w:fldCharType="separate"/>
      </w:r>
      <w:r>
        <w:rPr>
          <w:rFonts w:hint="eastAsia" w:eastAsiaTheme="minorEastAsia"/>
          <w:lang w:eastAsia="zh-CN"/>
        </w:rPr>
        <w:t>九</w:t>
      </w:r>
      <w:r>
        <w:t>、名词解释</w:t>
      </w:r>
      <w:r>
        <w:tab/>
      </w:r>
      <w:r>
        <w:rPr>
          <w:rFonts w:hint="eastAsia" w:eastAsiaTheme="minorEastAsia"/>
          <w:lang w:eastAsia="zh-CN"/>
        </w:rPr>
        <w:t>41</w:t>
      </w:r>
      <w:r>
        <w:rPr>
          <w:rFonts w:hint="eastAsia" w:eastAsiaTheme="minorEastAsia"/>
          <w:lang w:eastAsia="zh-CN"/>
        </w:rPr>
        <w:fldChar w:fldCharType="end"/>
      </w:r>
    </w:p>
    <w:p>
      <w:pPr>
        <w:pStyle w:val="27"/>
        <w:tabs>
          <w:tab w:val="right" w:leader="dot" w:pos="14562"/>
        </w:tabs>
      </w:pPr>
      <w:r>
        <w:fldChar w:fldCharType="begin"/>
      </w:r>
      <w:r>
        <w:instrText xml:space="preserve"> HYPERLINK \l "_Toc_3_3_0000000020" </w:instrText>
      </w:r>
      <w:r>
        <w:fldChar w:fldCharType="separate"/>
      </w:r>
      <w:r>
        <w:t>十、其他需要说明的事项</w:t>
      </w:r>
      <w:r>
        <w:tab/>
      </w:r>
      <w:r>
        <w:rPr>
          <w:rFonts w:hint="eastAsia" w:eastAsiaTheme="minorEastAsia"/>
          <w:lang w:eastAsia="zh-CN"/>
        </w:rPr>
        <w:t>42</w:t>
      </w:r>
      <w:r>
        <w:rPr>
          <w:rFonts w:hint="eastAsia" w:eastAsiaTheme="minorEastAsia"/>
          <w:lang w:eastAsia="zh-CN"/>
        </w:rP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222中国共产党衡水市冀州区纪律检查委员会</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2"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6"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6" w:type="dxa"/>
            <w:vAlign w:val="center"/>
          </w:tcPr>
          <w:p>
            <w:pPr>
              <w:pStyle w:val="12"/>
            </w:pPr>
            <w:r>
              <w:t>一、一般公共预算拨款收入</w:t>
            </w:r>
          </w:p>
        </w:tc>
        <w:tc>
          <w:tcPr>
            <w:tcW w:w="2126" w:type="dxa"/>
            <w:vAlign w:val="center"/>
          </w:tcPr>
          <w:p>
            <w:pPr>
              <w:pStyle w:val="11"/>
            </w:pPr>
            <w:r>
              <w:t>1847.50</w:t>
            </w:r>
          </w:p>
        </w:tc>
        <w:tc>
          <w:tcPr>
            <w:tcW w:w="4535" w:type="dxa"/>
            <w:vAlign w:val="center"/>
          </w:tcPr>
          <w:p>
            <w:pPr>
              <w:pStyle w:val="12"/>
            </w:pPr>
            <w:r>
              <w:t>一、一般公共服务支出</w:t>
            </w:r>
          </w:p>
        </w:tc>
        <w:tc>
          <w:tcPr>
            <w:tcW w:w="2126" w:type="dxa"/>
            <w:vAlign w:val="center"/>
          </w:tcPr>
          <w:p>
            <w:pPr>
              <w:pStyle w:val="11"/>
            </w:pPr>
            <w:r>
              <w:t>1523.45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6"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6"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6"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6"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176.90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47.25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99.90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6" w:type="dxa"/>
            <w:vAlign w:val="center"/>
          </w:tcPr>
          <w:p>
            <w:pPr>
              <w:pStyle w:val="14"/>
            </w:pPr>
            <w:r>
              <w:t>本年收入合计</w:t>
            </w:r>
          </w:p>
        </w:tc>
        <w:tc>
          <w:tcPr>
            <w:tcW w:w="2126" w:type="dxa"/>
            <w:vAlign w:val="center"/>
          </w:tcPr>
          <w:p>
            <w:pPr>
              <w:pStyle w:val="15"/>
            </w:pPr>
            <w:r>
              <w:t>1847.50</w:t>
            </w:r>
          </w:p>
        </w:tc>
        <w:tc>
          <w:tcPr>
            <w:tcW w:w="4535" w:type="dxa"/>
            <w:vAlign w:val="center"/>
          </w:tcPr>
          <w:p>
            <w:pPr>
              <w:pStyle w:val="14"/>
            </w:pPr>
            <w:r>
              <w:t>本年支出合计</w:t>
            </w:r>
          </w:p>
        </w:tc>
        <w:tc>
          <w:tcPr>
            <w:tcW w:w="2126" w:type="dxa"/>
            <w:vAlign w:val="center"/>
          </w:tcPr>
          <w:p>
            <w:pPr>
              <w:pStyle w:val="15"/>
            </w:pPr>
            <w:r>
              <w:t>1847.50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6"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6" w:type="dxa"/>
            <w:vAlign w:val="center"/>
          </w:tcPr>
          <w:p>
            <w:pPr>
              <w:pStyle w:val="14"/>
            </w:pPr>
            <w:r>
              <w:t>收入总计</w:t>
            </w:r>
          </w:p>
        </w:tc>
        <w:tc>
          <w:tcPr>
            <w:tcW w:w="2126" w:type="dxa"/>
            <w:vAlign w:val="center"/>
          </w:tcPr>
          <w:p>
            <w:pPr>
              <w:pStyle w:val="15"/>
            </w:pPr>
            <w:r>
              <w:t>1847.50</w:t>
            </w:r>
          </w:p>
        </w:tc>
        <w:tc>
          <w:tcPr>
            <w:tcW w:w="4535" w:type="dxa"/>
            <w:vAlign w:val="center"/>
          </w:tcPr>
          <w:p>
            <w:pPr>
              <w:pStyle w:val="14"/>
            </w:pPr>
            <w:r>
              <w:t>支出总计</w:t>
            </w:r>
          </w:p>
        </w:tc>
        <w:tc>
          <w:tcPr>
            <w:tcW w:w="2126" w:type="dxa"/>
            <w:vAlign w:val="center"/>
          </w:tcPr>
          <w:p>
            <w:pPr>
              <w:pStyle w:val="15"/>
            </w:pPr>
            <w:r>
              <w:t>1847.50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222中国共产党衡水市冀州区纪律检查委员会</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1847.50</w:t>
            </w:r>
          </w:p>
        </w:tc>
        <w:tc>
          <w:tcPr>
            <w:tcW w:w="1134" w:type="dxa"/>
            <w:vAlign w:val="center"/>
          </w:tcPr>
          <w:p>
            <w:pPr>
              <w:pStyle w:val="15"/>
            </w:pPr>
            <w:r>
              <w:t>1847.50</w:t>
            </w:r>
          </w:p>
        </w:tc>
        <w:tc>
          <w:tcPr>
            <w:tcW w:w="1134" w:type="dxa"/>
            <w:vAlign w:val="center"/>
          </w:tcPr>
          <w:p>
            <w:pPr>
              <w:pStyle w:val="15"/>
            </w:pPr>
            <w:r>
              <w:t>1847.50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1523.45</w:t>
            </w:r>
          </w:p>
        </w:tc>
        <w:tc>
          <w:tcPr>
            <w:tcW w:w="1134" w:type="dxa"/>
            <w:vAlign w:val="center"/>
          </w:tcPr>
          <w:p>
            <w:pPr>
              <w:pStyle w:val="11"/>
            </w:pPr>
            <w:r>
              <w:t>1523.45</w:t>
            </w:r>
          </w:p>
        </w:tc>
        <w:tc>
          <w:tcPr>
            <w:tcW w:w="1134" w:type="dxa"/>
            <w:vAlign w:val="center"/>
          </w:tcPr>
          <w:p>
            <w:pPr>
              <w:pStyle w:val="11"/>
            </w:pPr>
            <w:r>
              <w:t>1523.45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20111</w:t>
            </w:r>
          </w:p>
        </w:tc>
        <w:tc>
          <w:tcPr>
            <w:tcW w:w="1559" w:type="dxa"/>
            <w:vAlign w:val="center"/>
          </w:tcPr>
          <w:p>
            <w:pPr>
              <w:pStyle w:val="12"/>
            </w:pPr>
            <w:r>
              <w:t>纪检监察事务</w:t>
            </w:r>
          </w:p>
        </w:tc>
        <w:tc>
          <w:tcPr>
            <w:tcW w:w="1134" w:type="dxa"/>
            <w:vAlign w:val="center"/>
          </w:tcPr>
          <w:p>
            <w:pPr>
              <w:pStyle w:val="11"/>
            </w:pPr>
            <w:r>
              <w:t>1523.45</w:t>
            </w:r>
          </w:p>
        </w:tc>
        <w:tc>
          <w:tcPr>
            <w:tcW w:w="1134" w:type="dxa"/>
            <w:vAlign w:val="center"/>
          </w:tcPr>
          <w:p>
            <w:pPr>
              <w:pStyle w:val="11"/>
            </w:pPr>
            <w:r>
              <w:t>1523.45</w:t>
            </w:r>
          </w:p>
        </w:tc>
        <w:tc>
          <w:tcPr>
            <w:tcW w:w="1134" w:type="dxa"/>
            <w:vAlign w:val="center"/>
          </w:tcPr>
          <w:p>
            <w:pPr>
              <w:pStyle w:val="11"/>
            </w:pPr>
            <w:r>
              <w:t>1523.45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2011101</w:t>
            </w:r>
          </w:p>
        </w:tc>
        <w:tc>
          <w:tcPr>
            <w:tcW w:w="1559" w:type="dxa"/>
            <w:vAlign w:val="center"/>
          </w:tcPr>
          <w:p>
            <w:pPr>
              <w:pStyle w:val="12"/>
            </w:pPr>
            <w:r>
              <w:t>行政运行</w:t>
            </w:r>
          </w:p>
        </w:tc>
        <w:tc>
          <w:tcPr>
            <w:tcW w:w="1134" w:type="dxa"/>
            <w:vAlign w:val="center"/>
          </w:tcPr>
          <w:p>
            <w:pPr>
              <w:pStyle w:val="11"/>
            </w:pPr>
            <w:r>
              <w:t>977.27</w:t>
            </w:r>
          </w:p>
        </w:tc>
        <w:tc>
          <w:tcPr>
            <w:tcW w:w="1134" w:type="dxa"/>
            <w:vAlign w:val="center"/>
          </w:tcPr>
          <w:p>
            <w:pPr>
              <w:pStyle w:val="11"/>
            </w:pPr>
            <w:r>
              <w:t>977.27</w:t>
            </w:r>
          </w:p>
        </w:tc>
        <w:tc>
          <w:tcPr>
            <w:tcW w:w="1134" w:type="dxa"/>
            <w:vAlign w:val="center"/>
          </w:tcPr>
          <w:p>
            <w:pPr>
              <w:pStyle w:val="11"/>
            </w:pPr>
            <w:r>
              <w:t>977.27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2011102</w:t>
            </w:r>
          </w:p>
        </w:tc>
        <w:tc>
          <w:tcPr>
            <w:tcW w:w="1559" w:type="dxa"/>
            <w:vAlign w:val="center"/>
          </w:tcPr>
          <w:p>
            <w:pPr>
              <w:pStyle w:val="12"/>
            </w:pPr>
            <w:r>
              <w:t>一般行政管理事务</w:t>
            </w:r>
          </w:p>
        </w:tc>
        <w:tc>
          <w:tcPr>
            <w:tcW w:w="1134" w:type="dxa"/>
            <w:vAlign w:val="center"/>
          </w:tcPr>
          <w:p>
            <w:pPr>
              <w:pStyle w:val="11"/>
            </w:pPr>
            <w:r>
              <w:t>408.50</w:t>
            </w:r>
          </w:p>
        </w:tc>
        <w:tc>
          <w:tcPr>
            <w:tcW w:w="1134" w:type="dxa"/>
            <w:vAlign w:val="center"/>
          </w:tcPr>
          <w:p>
            <w:pPr>
              <w:pStyle w:val="11"/>
            </w:pPr>
            <w:r>
              <w:t>408.50</w:t>
            </w:r>
          </w:p>
        </w:tc>
        <w:tc>
          <w:tcPr>
            <w:tcW w:w="1134" w:type="dxa"/>
            <w:vAlign w:val="center"/>
          </w:tcPr>
          <w:p>
            <w:pPr>
              <w:pStyle w:val="11"/>
            </w:pPr>
            <w:r>
              <w:t>408.50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2011106</w:t>
            </w:r>
          </w:p>
        </w:tc>
        <w:tc>
          <w:tcPr>
            <w:tcW w:w="1559" w:type="dxa"/>
            <w:vAlign w:val="center"/>
          </w:tcPr>
          <w:p>
            <w:pPr>
              <w:pStyle w:val="12"/>
            </w:pPr>
            <w:r>
              <w:t>巡视工作</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r>
              <w:t>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2011150</w:t>
            </w:r>
          </w:p>
        </w:tc>
        <w:tc>
          <w:tcPr>
            <w:tcW w:w="1559" w:type="dxa"/>
            <w:vAlign w:val="center"/>
          </w:tcPr>
          <w:p>
            <w:pPr>
              <w:pStyle w:val="12"/>
            </w:pPr>
            <w:r>
              <w:t>事业运行</w:t>
            </w:r>
          </w:p>
        </w:tc>
        <w:tc>
          <w:tcPr>
            <w:tcW w:w="1134" w:type="dxa"/>
            <w:vAlign w:val="center"/>
          </w:tcPr>
          <w:p>
            <w:pPr>
              <w:pStyle w:val="11"/>
            </w:pPr>
            <w:r>
              <w:t>77.68</w:t>
            </w:r>
          </w:p>
        </w:tc>
        <w:tc>
          <w:tcPr>
            <w:tcW w:w="1134" w:type="dxa"/>
            <w:vAlign w:val="center"/>
          </w:tcPr>
          <w:p>
            <w:pPr>
              <w:pStyle w:val="11"/>
            </w:pPr>
            <w:r>
              <w:t>77.68</w:t>
            </w:r>
          </w:p>
        </w:tc>
        <w:tc>
          <w:tcPr>
            <w:tcW w:w="1134" w:type="dxa"/>
            <w:vAlign w:val="center"/>
          </w:tcPr>
          <w:p>
            <w:pPr>
              <w:pStyle w:val="11"/>
            </w:pPr>
            <w:r>
              <w:t>77.68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2011199</w:t>
            </w:r>
          </w:p>
        </w:tc>
        <w:tc>
          <w:tcPr>
            <w:tcW w:w="1559" w:type="dxa"/>
            <w:vAlign w:val="center"/>
          </w:tcPr>
          <w:p>
            <w:pPr>
              <w:pStyle w:val="12"/>
            </w:pPr>
            <w:r>
              <w:t>其他纪检监察事务支出</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176.90</w:t>
            </w:r>
          </w:p>
        </w:tc>
        <w:tc>
          <w:tcPr>
            <w:tcW w:w="1134" w:type="dxa"/>
            <w:vAlign w:val="center"/>
          </w:tcPr>
          <w:p>
            <w:pPr>
              <w:pStyle w:val="11"/>
            </w:pPr>
            <w:r>
              <w:t>176.90</w:t>
            </w:r>
          </w:p>
        </w:tc>
        <w:tc>
          <w:tcPr>
            <w:tcW w:w="1134" w:type="dxa"/>
            <w:vAlign w:val="center"/>
          </w:tcPr>
          <w:p>
            <w:pPr>
              <w:pStyle w:val="11"/>
            </w:pPr>
            <w:r>
              <w:t>176.90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176.90</w:t>
            </w:r>
          </w:p>
        </w:tc>
        <w:tc>
          <w:tcPr>
            <w:tcW w:w="1134" w:type="dxa"/>
            <w:vAlign w:val="center"/>
          </w:tcPr>
          <w:p>
            <w:pPr>
              <w:pStyle w:val="11"/>
            </w:pPr>
            <w:r>
              <w:t>176.90</w:t>
            </w:r>
          </w:p>
        </w:tc>
        <w:tc>
          <w:tcPr>
            <w:tcW w:w="1134" w:type="dxa"/>
            <w:vAlign w:val="center"/>
          </w:tcPr>
          <w:p>
            <w:pPr>
              <w:pStyle w:val="11"/>
            </w:pPr>
            <w:r>
              <w:t>176.90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50.50</w:t>
            </w:r>
          </w:p>
        </w:tc>
        <w:tc>
          <w:tcPr>
            <w:tcW w:w="1134" w:type="dxa"/>
            <w:vAlign w:val="center"/>
          </w:tcPr>
          <w:p>
            <w:pPr>
              <w:pStyle w:val="11"/>
            </w:pPr>
            <w:r>
              <w:t>50.50</w:t>
            </w:r>
          </w:p>
        </w:tc>
        <w:tc>
          <w:tcPr>
            <w:tcW w:w="1134" w:type="dxa"/>
            <w:vAlign w:val="center"/>
          </w:tcPr>
          <w:p>
            <w:pPr>
              <w:pStyle w:val="11"/>
            </w:pPr>
            <w:r>
              <w:t>50.50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126.40</w:t>
            </w:r>
          </w:p>
        </w:tc>
        <w:tc>
          <w:tcPr>
            <w:tcW w:w="1134" w:type="dxa"/>
            <w:vAlign w:val="center"/>
          </w:tcPr>
          <w:p>
            <w:pPr>
              <w:pStyle w:val="11"/>
            </w:pPr>
            <w:r>
              <w:t>126.40</w:t>
            </w:r>
          </w:p>
        </w:tc>
        <w:tc>
          <w:tcPr>
            <w:tcW w:w="1134" w:type="dxa"/>
            <w:vAlign w:val="center"/>
          </w:tcPr>
          <w:p>
            <w:pPr>
              <w:pStyle w:val="11"/>
            </w:pPr>
            <w:r>
              <w:t>126.40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47.25</w:t>
            </w:r>
          </w:p>
        </w:tc>
        <w:tc>
          <w:tcPr>
            <w:tcW w:w="1134" w:type="dxa"/>
            <w:vAlign w:val="center"/>
          </w:tcPr>
          <w:p>
            <w:pPr>
              <w:pStyle w:val="11"/>
            </w:pPr>
            <w:r>
              <w:t>47.25</w:t>
            </w:r>
          </w:p>
        </w:tc>
        <w:tc>
          <w:tcPr>
            <w:tcW w:w="1134" w:type="dxa"/>
            <w:vAlign w:val="center"/>
          </w:tcPr>
          <w:p>
            <w:pPr>
              <w:pStyle w:val="11"/>
            </w:pPr>
            <w:r>
              <w:t>47.25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47.25</w:t>
            </w:r>
          </w:p>
        </w:tc>
        <w:tc>
          <w:tcPr>
            <w:tcW w:w="1134" w:type="dxa"/>
            <w:vAlign w:val="center"/>
          </w:tcPr>
          <w:p>
            <w:pPr>
              <w:pStyle w:val="11"/>
            </w:pPr>
            <w:r>
              <w:t>47.25</w:t>
            </w:r>
          </w:p>
        </w:tc>
        <w:tc>
          <w:tcPr>
            <w:tcW w:w="1134" w:type="dxa"/>
            <w:vAlign w:val="center"/>
          </w:tcPr>
          <w:p>
            <w:pPr>
              <w:pStyle w:val="11"/>
            </w:pPr>
            <w:r>
              <w:t>47.25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43.56</w:t>
            </w:r>
          </w:p>
        </w:tc>
        <w:tc>
          <w:tcPr>
            <w:tcW w:w="1134" w:type="dxa"/>
            <w:vAlign w:val="center"/>
          </w:tcPr>
          <w:p>
            <w:pPr>
              <w:pStyle w:val="11"/>
            </w:pPr>
            <w:r>
              <w:t>43.56</w:t>
            </w:r>
          </w:p>
        </w:tc>
        <w:tc>
          <w:tcPr>
            <w:tcW w:w="1134" w:type="dxa"/>
            <w:vAlign w:val="center"/>
          </w:tcPr>
          <w:p>
            <w:pPr>
              <w:pStyle w:val="11"/>
            </w:pPr>
            <w:r>
              <w:t>43.56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3.69</w:t>
            </w:r>
          </w:p>
        </w:tc>
        <w:tc>
          <w:tcPr>
            <w:tcW w:w="1134" w:type="dxa"/>
            <w:vAlign w:val="center"/>
          </w:tcPr>
          <w:p>
            <w:pPr>
              <w:pStyle w:val="11"/>
            </w:pPr>
            <w:r>
              <w:t>3.69</w:t>
            </w:r>
          </w:p>
        </w:tc>
        <w:tc>
          <w:tcPr>
            <w:tcW w:w="1134" w:type="dxa"/>
            <w:vAlign w:val="center"/>
          </w:tcPr>
          <w:p>
            <w:pPr>
              <w:pStyle w:val="11"/>
            </w:pPr>
            <w:r>
              <w:t>3.69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99.90</w:t>
            </w:r>
          </w:p>
        </w:tc>
        <w:tc>
          <w:tcPr>
            <w:tcW w:w="1134" w:type="dxa"/>
            <w:vAlign w:val="center"/>
          </w:tcPr>
          <w:p>
            <w:pPr>
              <w:pStyle w:val="11"/>
            </w:pPr>
            <w:r>
              <w:t>99.90</w:t>
            </w:r>
          </w:p>
        </w:tc>
        <w:tc>
          <w:tcPr>
            <w:tcW w:w="1134" w:type="dxa"/>
            <w:vAlign w:val="center"/>
          </w:tcPr>
          <w:p>
            <w:pPr>
              <w:pStyle w:val="11"/>
            </w:pPr>
            <w:r>
              <w:t>99.90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99.90</w:t>
            </w:r>
          </w:p>
        </w:tc>
        <w:tc>
          <w:tcPr>
            <w:tcW w:w="1134" w:type="dxa"/>
            <w:vAlign w:val="center"/>
          </w:tcPr>
          <w:p>
            <w:pPr>
              <w:pStyle w:val="11"/>
            </w:pPr>
            <w:r>
              <w:t>99.90</w:t>
            </w:r>
          </w:p>
        </w:tc>
        <w:tc>
          <w:tcPr>
            <w:tcW w:w="1134" w:type="dxa"/>
            <w:vAlign w:val="center"/>
          </w:tcPr>
          <w:p>
            <w:pPr>
              <w:pStyle w:val="11"/>
            </w:pPr>
            <w:r>
              <w:t>99.90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99.90</w:t>
            </w:r>
          </w:p>
        </w:tc>
        <w:tc>
          <w:tcPr>
            <w:tcW w:w="1134" w:type="dxa"/>
            <w:vAlign w:val="center"/>
          </w:tcPr>
          <w:p>
            <w:pPr>
              <w:pStyle w:val="11"/>
            </w:pPr>
            <w:r>
              <w:t>99.90</w:t>
            </w:r>
          </w:p>
        </w:tc>
        <w:tc>
          <w:tcPr>
            <w:tcW w:w="1134" w:type="dxa"/>
            <w:vAlign w:val="center"/>
          </w:tcPr>
          <w:p>
            <w:pPr>
              <w:pStyle w:val="11"/>
            </w:pPr>
            <w:r>
              <w:t>99.90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222中国共产党衡水市冀州区纪律检查委员会</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6"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6"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6" w:type="dxa"/>
            <w:vAlign w:val="center"/>
          </w:tcPr>
          <w:p>
            <w:pPr>
              <w:pStyle w:val="14"/>
            </w:pPr>
            <w:r>
              <w:t>合计</w:t>
            </w:r>
          </w:p>
        </w:tc>
        <w:tc>
          <w:tcPr>
            <w:tcW w:w="1361" w:type="dxa"/>
            <w:vAlign w:val="center"/>
          </w:tcPr>
          <w:p>
            <w:pPr>
              <w:pStyle w:val="15"/>
            </w:pPr>
            <w:r>
              <w:t>1847.50</w:t>
            </w:r>
          </w:p>
        </w:tc>
        <w:tc>
          <w:tcPr>
            <w:tcW w:w="1361" w:type="dxa"/>
            <w:vAlign w:val="center"/>
          </w:tcPr>
          <w:p>
            <w:pPr>
              <w:pStyle w:val="15"/>
            </w:pPr>
            <w:r>
              <w:t>1379.00</w:t>
            </w:r>
          </w:p>
        </w:tc>
        <w:tc>
          <w:tcPr>
            <w:tcW w:w="1361" w:type="dxa"/>
            <w:vAlign w:val="center"/>
          </w:tcPr>
          <w:p>
            <w:pPr>
              <w:pStyle w:val="15"/>
            </w:pPr>
            <w:r>
              <w:t>468.50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6" w:type="dxa"/>
            <w:vAlign w:val="center"/>
          </w:tcPr>
          <w:p>
            <w:pPr>
              <w:pStyle w:val="12"/>
            </w:pPr>
            <w:r>
              <w:t>一般公共服务支出</w:t>
            </w:r>
          </w:p>
        </w:tc>
        <w:tc>
          <w:tcPr>
            <w:tcW w:w="1361" w:type="dxa"/>
            <w:vAlign w:val="center"/>
          </w:tcPr>
          <w:p>
            <w:pPr>
              <w:pStyle w:val="11"/>
            </w:pPr>
            <w:r>
              <w:t>1523.45</w:t>
            </w:r>
          </w:p>
        </w:tc>
        <w:tc>
          <w:tcPr>
            <w:tcW w:w="1361" w:type="dxa"/>
            <w:vAlign w:val="center"/>
          </w:tcPr>
          <w:p>
            <w:pPr>
              <w:pStyle w:val="11"/>
            </w:pPr>
            <w:r>
              <w:t>1054.95</w:t>
            </w:r>
          </w:p>
        </w:tc>
        <w:tc>
          <w:tcPr>
            <w:tcW w:w="1361" w:type="dxa"/>
            <w:vAlign w:val="center"/>
          </w:tcPr>
          <w:p>
            <w:pPr>
              <w:pStyle w:val="11"/>
            </w:pPr>
            <w:r>
              <w:t>468.50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20111</w:t>
            </w:r>
          </w:p>
        </w:tc>
        <w:tc>
          <w:tcPr>
            <w:tcW w:w="4536" w:type="dxa"/>
            <w:vAlign w:val="center"/>
          </w:tcPr>
          <w:p>
            <w:pPr>
              <w:pStyle w:val="12"/>
            </w:pPr>
            <w:r>
              <w:t>纪检监察事务</w:t>
            </w:r>
          </w:p>
        </w:tc>
        <w:tc>
          <w:tcPr>
            <w:tcW w:w="1361" w:type="dxa"/>
            <w:vAlign w:val="center"/>
          </w:tcPr>
          <w:p>
            <w:pPr>
              <w:pStyle w:val="11"/>
            </w:pPr>
            <w:r>
              <w:t>1523.45</w:t>
            </w:r>
          </w:p>
        </w:tc>
        <w:tc>
          <w:tcPr>
            <w:tcW w:w="1361" w:type="dxa"/>
            <w:vAlign w:val="center"/>
          </w:tcPr>
          <w:p>
            <w:pPr>
              <w:pStyle w:val="11"/>
            </w:pPr>
            <w:r>
              <w:t>1054.95</w:t>
            </w:r>
          </w:p>
        </w:tc>
        <w:tc>
          <w:tcPr>
            <w:tcW w:w="1361" w:type="dxa"/>
            <w:vAlign w:val="center"/>
          </w:tcPr>
          <w:p>
            <w:pPr>
              <w:pStyle w:val="11"/>
            </w:pPr>
            <w:r>
              <w:t>468.50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2011101</w:t>
            </w:r>
          </w:p>
        </w:tc>
        <w:tc>
          <w:tcPr>
            <w:tcW w:w="4536" w:type="dxa"/>
            <w:vAlign w:val="center"/>
          </w:tcPr>
          <w:p>
            <w:pPr>
              <w:pStyle w:val="12"/>
            </w:pPr>
            <w:r>
              <w:t>行政运行</w:t>
            </w:r>
          </w:p>
        </w:tc>
        <w:tc>
          <w:tcPr>
            <w:tcW w:w="1361" w:type="dxa"/>
            <w:vAlign w:val="center"/>
          </w:tcPr>
          <w:p>
            <w:pPr>
              <w:pStyle w:val="11"/>
            </w:pPr>
            <w:r>
              <w:t>977.27</w:t>
            </w:r>
          </w:p>
        </w:tc>
        <w:tc>
          <w:tcPr>
            <w:tcW w:w="1361" w:type="dxa"/>
            <w:vAlign w:val="center"/>
          </w:tcPr>
          <w:p>
            <w:pPr>
              <w:pStyle w:val="11"/>
            </w:pPr>
            <w:r>
              <w:t>977.27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2011102</w:t>
            </w:r>
          </w:p>
        </w:tc>
        <w:tc>
          <w:tcPr>
            <w:tcW w:w="4536" w:type="dxa"/>
            <w:vAlign w:val="center"/>
          </w:tcPr>
          <w:p>
            <w:pPr>
              <w:pStyle w:val="12"/>
            </w:pPr>
            <w:r>
              <w:t>一般行政管理事务</w:t>
            </w:r>
          </w:p>
        </w:tc>
        <w:tc>
          <w:tcPr>
            <w:tcW w:w="1361" w:type="dxa"/>
            <w:vAlign w:val="center"/>
          </w:tcPr>
          <w:p>
            <w:pPr>
              <w:pStyle w:val="11"/>
            </w:pPr>
            <w:r>
              <w:t>408.50</w:t>
            </w:r>
          </w:p>
        </w:tc>
        <w:tc>
          <w:tcPr>
            <w:tcW w:w="1361" w:type="dxa"/>
            <w:vAlign w:val="center"/>
          </w:tcPr>
          <w:p>
            <w:pPr>
              <w:pStyle w:val="11"/>
            </w:pPr>
          </w:p>
        </w:tc>
        <w:tc>
          <w:tcPr>
            <w:tcW w:w="1361" w:type="dxa"/>
            <w:vAlign w:val="center"/>
          </w:tcPr>
          <w:p>
            <w:pPr>
              <w:pStyle w:val="11"/>
            </w:pPr>
            <w:r>
              <w:t>408.50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2011106</w:t>
            </w:r>
          </w:p>
        </w:tc>
        <w:tc>
          <w:tcPr>
            <w:tcW w:w="4536" w:type="dxa"/>
            <w:vAlign w:val="center"/>
          </w:tcPr>
          <w:p>
            <w:pPr>
              <w:pStyle w:val="12"/>
            </w:pPr>
            <w:r>
              <w:t>巡视工作</w:t>
            </w: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r>
              <w:t>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2011150</w:t>
            </w:r>
          </w:p>
        </w:tc>
        <w:tc>
          <w:tcPr>
            <w:tcW w:w="4536" w:type="dxa"/>
            <w:vAlign w:val="center"/>
          </w:tcPr>
          <w:p>
            <w:pPr>
              <w:pStyle w:val="12"/>
            </w:pPr>
            <w:r>
              <w:t>事业运行</w:t>
            </w:r>
          </w:p>
        </w:tc>
        <w:tc>
          <w:tcPr>
            <w:tcW w:w="1361" w:type="dxa"/>
            <w:vAlign w:val="center"/>
          </w:tcPr>
          <w:p>
            <w:pPr>
              <w:pStyle w:val="11"/>
            </w:pPr>
            <w:r>
              <w:t>77.68</w:t>
            </w:r>
          </w:p>
        </w:tc>
        <w:tc>
          <w:tcPr>
            <w:tcW w:w="1361" w:type="dxa"/>
            <w:vAlign w:val="center"/>
          </w:tcPr>
          <w:p>
            <w:pPr>
              <w:pStyle w:val="11"/>
            </w:pPr>
            <w:r>
              <w:t>77.68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2011199</w:t>
            </w:r>
          </w:p>
        </w:tc>
        <w:tc>
          <w:tcPr>
            <w:tcW w:w="4536" w:type="dxa"/>
            <w:vAlign w:val="center"/>
          </w:tcPr>
          <w:p>
            <w:pPr>
              <w:pStyle w:val="12"/>
            </w:pPr>
            <w:r>
              <w:t>其他纪检监察事务支出</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w:t>
            </w:r>
          </w:p>
        </w:tc>
        <w:tc>
          <w:tcPr>
            <w:tcW w:w="4536" w:type="dxa"/>
            <w:vAlign w:val="center"/>
          </w:tcPr>
          <w:p>
            <w:pPr>
              <w:pStyle w:val="12"/>
            </w:pPr>
            <w:r>
              <w:t>社会保障和就业支出</w:t>
            </w:r>
          </w:p>
        </w:tc>
        <w:tc>
          <w:tcPr>
            <w:tcW w:w="1361" w:type="dxa"/>
            <w:vAlign w:val="center"/>
          </w:tcPr>
          <w:p>
            <w:pPr>
              <w:pStyle w:val="11"/>
            </w:pPr>
            <w:r>
              <w:t>176.90</w:t>
            </w:r>
          </w:p>
        </w:tc>
        <w:tc>
          <w:tcPr>
            <w:tcW w:w="1361" w:type="dxa"/>
            <w:vAlign w:val="center"/>
          </w:tcPr>
          <w:p>
            <w:pPr>
              <w:pStyle w:val="11"/>
            </w:pPr>
            <w:r>
              <w:t>176.90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w:t>
            </w:r>
          </w:p>
        </w:tc>
        <w:tc>
          <w:tcPr>
            <w:tcW w:w="4536" w:type="dxa"/>
            <w:vAlign w:val="center"/>
          </w:tcPr>
          <w:p>
            <w:pPr>
              <w:pStyle w:val="12"/>
            </w:pPr>
            <w:r>
              <w:t>行政事业单位养老支出</w:t>
            </w:r>
          </w:p>
        </w:tc>
        <w:tc>
          <w:tcPr>
            <w:tcW w:w="1361" w:type="dxa"/>
            <w:vAlign w:val="center"/>
          </w:tcPr>
          <w:p>
            <w:pPr>
              <w:pStyle w:val="11"/>
            </w:pPr>
            <w:r>
              <w:t>176.90</w:t>
            </w:r>
          </w:p>
        </w:tc>
        <w:tc>
          <w:tcPr>
            <w:tcW w:w="1361" w:type="dxa"/>
            <w:vAlign w:val="center"/>
          </w:tcPr>
          <w:p>
            <w:pPr>
              <w:pStyle w:val="11"/>
            </w:pPr>
            <w:r>
              <w:t>176.90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2080501</w:t>
            </w:r>
          </w:p>
        </w:tc>
        <w:tc>
          <w:tcPr>
            <w:tcW w:w="4536" w:type="dxa"/>
            <w:vAlign w:val="center"/>
          </w:tcPr>
          <w:p>
            <w:pPr>
              <w:pStyle w:val="12"/>
            </w:pPr>
            <w:r>
              <w:t>行政单位离退休</w:t>
            </w:r>
          </w:p>
        </w:tc>
        <w:tc>
          <w:tcPr>
            <w:tcW w:w="1361" w:type="dxa"/>
            <w:vAlign w:val="center"/>
          </w:tcPr>
          <w:p>
            <w:pPr>
              <w:pStyle w:val="11"/>
            </w:pPr>
            <w:r>
              <w:t>50.50</w:t>
            </w:r>
          </w:p>
        </w:tc>
        <w:tc>
          <w:tcPr>
            <w:tcW w:w="1361" w:type="dxa"/>
            <w:vAlign w:val="center"/>
          </w:tcPr>
          <w:p>
            <w:pPr>
              <w:pStyle w:val="11"/>
            </w:pPr>
            <w:r>
              <w:t>50.50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2080505</w:t>
            </w:r>
          </w:p>
        </w:tc>
        <w:tc>
          <w:tcPr>
            <w:tcW w:w="4536" w:type="dxa"/>
            <w:vAlign w:val="center"/>
          </w:tcPr>
          <w:p>
            <w:pPr>
              <w:pStyle w:val="12"/>
            </w:pPr>
            <w:r>
              <w:t>机关事业单位基本养老保险缴费支出</w:t>
            </w:r>
          </w:p>
        </w:tc>
        <w:tc>
          <w:tcPr>
            <w:tcW w:w="1361" w:type="dxa"/>
            <w:vAlign w:val="center"/>
          </w:tcPr>
          <w:p>
            <w:pPr>
              <w:pStyle w:val="11"/>
            </w:pPr>
            <w:r>
              <w:t>126.40</w:t>
            </w:r>
          </w:p>
        </w:tc>
        <w:tc>
          <w:tcPr>
            <w:tcW w:w="1361" w:type="dxa"/>
            <w:vAlign w:val="center"/>
          </w:tcPr>
          <w:p>
            <w:pPr>
              <w:pStyle w:val="11"/>
            </w:pPr>
            <w:r>
              <w:t>126.40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w:t>
            </w:r>
          </w:p>
        </w:tc>
        <w:tc>
          <w:tcPr>
            <w:tcW w:w="4536" w:type="dxa"/>
            <w:vAlign w:val="center"/>
          </w:tcPr>
          <w:p>
            <w:pPr>
              <w:pStyle w:val="12"/>
            </w:pPr>
            <w:r>
              <w:t>卫生健康支出</w:t>
            </w:r>
          </w:p>
        </w:tc>
        <w:tc>
          <w:tcPr>
            <w:tcW w:w="1361" w:type="dxa"/>
            <w:vAlign w:val="center"/>
          </w:tcPr>
          <w:p>
            <w:pPr>
              <w:pStyle w:val="11"/>
            </w:pPr>
            <w:r>
              <w:t>47.25</w:t>
            </w:r>
          </w:p>
        </w:tc>
        <w:tc>
          <w:tcPr>
            <w:tcW w:w="1361" w:type="dxa"/>
            <w:vAlign w:val="center"/>
          </w:tcPr>
          <w:p>
            <w:pPr>
              <w:pStyle w:val="11"/>
            </w:pPr>
            <w:r>
              <w:t>47.25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21011</w:t>
            </w:r>
          </w:p>
        </w:tc>
        <w:tc>
          <w:tcPr>
            <w:tcW w:w="4536" w:type="dxa"/>
            <w:vAlign w:val="center"/>
          </w:tcPr>
          <w:p>
            <w:pPr>
              <w:pStyle w:val="12"/>
            </w:pPr>
            <w:r>
              <w:t>行政事业单位医疗</w:t>
            </w:r>
          </w:p>
        </w:tc>
        <w:tc>
          <w:tcPr>
            <w:tcW w:w="1361" w:type="dxa"/>
            <w:vAlign w:val="center"/>
          </w:tcPr>
          <w:p>
            <w:pPr>
              <w:pStyle w:val="11"/>
            </w:pPr>
            <w:r>
              <w:t>47.25</w:t>
            </w:r>
          </w:p>
        </w:tc>
        <w:tc>
          <w:tcPr>
            <w:tcW w:w="1361" w:type="dxa"/>
            <w:vAlign w:val="center"/>
          </w:tcPr>
          <w:p>
            <w:pPr>
              <w:pStyle w:val="11"/>
            </w:pPr>
            <w:r>
              <w:t>47.25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2101101</w:t>
            </w:r>
          </w:p>
        </w:tc>
        <w:tc>
          <w:tcPr>
            <w:tcW w:w="4536" w:type="dxa"/>
            <w:vAlign w:val="center"/>
          </w:tcPr>
          <w:p>
            <w:pPr>
              <w:pStyle w:val="12"/>
            </w:pPr>
            <w:r>
              <w:t>行政单位医疗</w:t>
            </w:r>
          </w:p>
        </w:tc>
        <w:tc>
          <w:tcPr>
            <w:tcW w:w="1361" w:type="dxa"/>
            <w:vAlign w:val="center"/>
          </w:tcPr>
          <w:p>
            <w:pPr>
              <w:pStyle w:val="11"/>
            </w:pPr>
            <w:r>
              <w:t>43.56</w:t>
            </w:r>
          </w:p>
        </w:tc>
        <w:tc>
          <w:tcPr>
            <w:tcW w:w="1361" w:type="dxa"/>
            <w:vAlign w:val="center"/>
          </w:tcPr>
          <w:p>
            <w:pPr>
              <w:pStyle w:val="11"/>
            </w:pPr>
            <w:r>
              <w:t>43.56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2101102</w:t>
            </w:r>
          </w:p>
        </w:tc>
        <w:tc>
          <w:tcPr>
            <w:tcW w:w="4536" w:type="dxa"/>
            <w:vAlign w:val="center"/>
          </w:tcPr>
          <w:p>
            <w:pPr>
              <w:pStyle w:val="12"/>
            </w:pPr>
            <w:r>
              <w:t>事业单位医疗</w:t>
            </w:r>
          </w:p>
        </w:tc>
        <w:tc>
          <w:tcPr>
            <w:tcW w:w="1361" w:type="dxa"/>
            <w:vAlign w:val="center"/>
          </w:tcPr>
          <w:p>
            <w:pPr>
              <w:pStyle w:val="11"/>
            </w:pPr>
            <w:r>
              <w:t>3.69</w:t>
            </w:r>
          </w:p>
        </w:tc>
        <w:tc>
          <w:tcPr>
            <w:tcW w:w="1361" w:type="dxa"/>
            <w:vAlign w:val="center"/>
          </w:tcPr>
          <w:p>
            <w:pPr>
              <w:pStyle w:val="11"/>
            </w:pPr>
            <w:r>
              <w:t>3.69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w:t>
            </w:r>
          </w:p>
        </w:tc>
        <w:tc>
          <w:tcPr>
            <w:tcW w:w="4536" w:type="dxa"/>
            <w:vAlign w:val="center"/>
          </w:tcPr>
          <w:p>
            <w:pPr>
              <w:pStyle w:val="12"/>
            </w:pPr>
            <w:r>
              <w:t>住房保障支出</w:t>
            </w:r>
          </w:p>
        </w:tc>
        <w:tc>
          <w:tcPr>
            <w:tcW w:w="1361" w:type="dxa"/>
            <w:vAlign w:val="center"/>
          </w:tcPr>
          <w:p>
            <w:pPr>
              <w:pStyle w:val="11"/>
            </w:pPr>
            <w:r>
              <w:t>99.90</w:t>
            </w:r>
          </w:p>
        </w:tc>
        <w:tc>
          <w:tcPr>
            <w:tcW w:w="1361" w:type="dxa"/>
            <w:vAlign w:val="center"/>
          </w:tcPr>
          <w:p>
            <w:pPr>
              <w:pStyle w:val="11"/>
            </w:pPr>
            <w:r>
              <w:t>99.90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22102</w:t>
            </w:r>
          </w:p>
        </w:tc>
        <w:tc>
          <w:tcPr>
            <w:tcW w:w="4536" w:type="dxa"/>
            <w:vAlign w:val="center"/>
          </w:tcPr>
          <w:p>
            <w:pPr>
              <w:pStyle w:val="12"/>
            </w:pPr>
            <w:r>
              <w:t>住房改革支出</w:t>
            </w:r>
          </w:p>
        </w:tc>
        <w:tc>
          <w:tcPr>
            <w:tcW w:w="1361" w:type="dxa"/>
            <w:vAlign w:val="center"/>
          </w:tcPr>
          <w:p>
            <w:pPr>
              <w:pStyle w:val="11"/>
            </w:pPr>
            <w:r>
              <w:t>99.90</w:t>
            </w:r>
          </w:p>
        </w:tc>
        <w:tc>
          <w:tcPr>
            <w:tcW w:w="1361" w:type="dxa"/>
            <w:vAlign w:val="center"/>
          </w:tcPr>
          <w:p>
            <w:pPr>
              <w:pStyle w:val="11"/>
            </w:pPr>
            <w:r>
              <w:t>99.90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2210201</w:t>
            </w:r>
          </w:p>
        </w:tc>
        <w:tc>
          <w:tcPr>
            <w:tcW w:w="4536" w:type="dxa"/>
            <w:vAlign w:val="center"/>
          </w:tcPr>
          <w:p>
            <w:pPr>
              <w:pStyle w:val="12"/>
            </w:pPr>
            <w:r>
              <w:t>住房公积金</w:t>
            </w:r>
          </w:p>
        </w:tc>
        <w:tc>
          <w:tcPr>
            <w:tcW w:w="1361" w:type="dxa"/>
            <w:vAlign w:val="center"/>
          </w:tcPr>
          <w:p>
            <w:pPr>
              <w:pStyle w:val="11"/>
            </w:pPr>
            <w:r>
              <w:t>99.90</w:t>
            </w:r>
          </w:p>
        </w:tc>
        <w:tc>
          <w:tcPr>
            <w:tcW w:w="1361" w:type="dxa"/>
            <w:vAlign w:val="center"/>
          </w:tcPr>
          <w:p>
            <w:pPr>
              <w:pStyle w:val="11"/>
            </w:pPr>
            <w:r>
              <w:t>99.90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222中国共产党衡水市冀州区纪律检查委员会</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1847.50</w:t>
            </w:r>
          </w:p>
        </w:tc>
        <w:tc>
          <w:tcPr>
            <w:tcW w:w="3402" w:type="dxa"/>
            <w:vAlign w:val="center"/>
          </w:tcPr>
          <w:p>
            <w:pPr>
              <w:pStyle w:val="12"/>
            </w:pPr>
            <w:r>
              <w:t>一、一般公共服务支出</w:t>
            </w:r>
          </w:p>
        </w:tc>
        <w:tc>
          <w:tcPr>
            <w:tcW w:w="1474" w:type="dxa"/>
            <w:vAlign w:val="center"/>
          </w:tcPr>
          <w:p>
            <w:pPr>
              <w:pStyle w:val="11"/>
            </w:pPr>
            <w:r>
              <w:t>1523.45</w:t>
            </w:r>
          </w:p>
        </w:tc>
        <w:tc>
          <w:tcPr>
            <w:tcW w:w="1474" w:type="dxa"/>
            <w:vAlign w:val="center"/>
          </w:tcPr>
          <w:p>
            <w:pPr>
              <w:pStyle w:val="11"/>
            </w:pPr>
            <w:r>
              <w:t>1523.45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176.90</w:t>
            </w:r>
          </w:p>
        </w:tc>
        <w:tc>
          <w:tcPr>
            <w:tcW w:w="1474" w:type="dxa"/>
            <w:vAlign w:val="center"/>
          </w:tcPr>
          <w:p>
            <w:pPr>
              <w:pStyle w:val="11"/>
            </w:pPr>
            <w:r>
              <w:t>176.90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47.25</w:t>
            </w:r>
          </w:p>
        </w:tc>
        <w:tc>
          <w:tcPr>
            <w:tcW w:w="1474" w:type="dxa"/>
            <w:vAlign w:val="center"/>
          </w:tcPr>
          <w:p>
            <w:pPr>
              <w:pStyle w:val="11"/>
            </w:pPr>
            <w:r>
              <w:t>47.25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99.90</w:t>
            </w:r>
          </w:p>
        </w:tc>
        <w:tc>
          <w:tcPr>
            <w:tcW w:w="1474" w:type="dxa"/>
            <w:vAlign w:val="center"/>
          </w:tcPr>
          <w:p>
            <w:pPr>
              <w:pStyle w:val="11"/>
            </w:pPr>
            <w:r>
              <w:t>99.90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1847.50</w:t>
            </w:r>
          </w:p>
        </w:tc>
        <w:tc>
          <w:tcPr>
            <w:tcW w:w="3402" w:type="dxa"/>
            <w:vAlign w:val="center"/>
          </w:tcPr>
          <w:p>
            <w:pPr>
              <w:pStyle w:val="14"/>
            </w:pPr>
            <w:r>
              <w:t>本年支出合计</w:t>
            </w:r>
          </w:p>
        </w:tc>
        <w:tc>
          <w:tcPr>
            <w:tcW w:w="1474" w:type="dxa"/>
            <w:vAlign w:val="center"/>
          </w:tcPr>
          <w:p>
            <w:pPr>
              <w:pStyle w:val="15"/>
            </w:pPr>
            <w:r>
              <w:t>1847.50</w:t>
            </w:r>
          </w:p>
        </w:tc>
        <w:tc>
          <w:tcPr>
            <w:tcW w:w="1474" w:type="dxa"/>
            <w:vAlign w:val="center"/>
          </w:tcPr>
          <w:p>
            <w:pPr>
              <w:pStyle w:val="15"/>
            </w:pPr>
            <w:r>
              <w:t>1847.50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1847.50</w:t>
            </w:r>
          </w:p>
        </w:tc>
        <w:tc>
          <w:tcPr>
            <w:tcW w:w="3402" w:type="dxa"/>
            <w:vAlign w:val="center"/>
          </w:tcPr>
          <w:p>
            <w:pPr>
              <w:pStyle w:val="14"/>
            </w:pPr>
            <w:r>
              <w:t>支出总计</w:t>
            </w:r>
          </w:p>
        </w:tc>
        <w:tc>
          <w:tcPr>
            <w:tcW w:w="1474" w:type="dxa"/>
            <w:vAlign w:val="center"/>
          </w:tcPr>
          <w:p>
            <w:pPr>
              <w:pStyle w:val="15"/>
            </w:pPr>
            <w:r>
              <w:t>1847.50</w:t>
            </w:r>
          </w:p>
        </w:tc>
        <w:tc>
          <w:tcPr>
            <w:tcW w:w="1474" w:type="dxa"/>
            <w:vAlign w:val="center"/>
          </w:tcPr>
          <w:p>
            <w:pPr>
              <w:pStyle w:val="15"/>
            </w:pPr>
            <w:r>
              <w:t>1847.50</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222中国共产党衡水市冀州区纪律检查委员会</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1847.50</w:t>
            </w:r>
          </w:p>
        </w:tc>
        <w:tc>
          <w:tcPr>
            <w:tcW w:w="2551" w:type="dxa"/>
            <w:vAlign w:val="center"/>
          </w:tcPr>
          <w:p>
            <w:pPr>
              <w:pStyle w:val="15"/>
            </w:pPr>
            <w:r>
              <w:t>1379.00</w:t>
            </w:r>
          </w:p>
        </w:tc>
        <w:tc>
          <w:tcPr>
            <w:tcW w:w="2551" w:type="dxa"/>
            <w:vAlign w:val="center"/>
          </w:tcPr>
          <w:p>
            <w:pPr>
              <w:pStyle w:val="15"/>
            </w:pPr>
            <w:r>
              <w:t>468.50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1523.45</w:t>
            </w:r>
          </w:p>
        </w:tc>
        <w:tc>
          <w:tcPr>
            <w:tcW w:w="2551" w:type="dxa"/>
            <w:vAlign w:val="center"/>
          </w:tcPr>
          <w:p>
            <w:pPr>
              <w:pStyle w:val="11"/>
            </w:pPr>
            <w:r>
              <w:t>1054.95</w:t>
            </w:r>
          </w:p>
        </w:tc>
        <w:tc>
          <w:tcPr>
            <w:tcW w:w="2551" w:type="dxa"/>
            <w:vAlign w:val="center"/>
          </w:tcPr>
          <w:p>
            <w:pPr>
              <w:pStyle w:val="11"/>
            </w:pPr>
            <w:r>
              <w:t>468.50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20111</w:t>
            </w:r>
          </w:p>
        </w:tc>
        <w:tc>
          <w:tcPr>
            <w:tcW w:w="4535" w:type="dxa"/>
            <w:vAlign w:val="center"/>
          </w:tcPr>
          <w:p>
            <w:pPr>
              <w:pStyle w:val="12"/>
            </w:pPr>
            <w:r>
              <w:t>纪检监察事务</w:t>
            </w:r>
          </w:p>
        </w:tc>
        <w:tc>
          <w:tcPr>
            <w:tcW w:w="2551" w:type="dxa"/>
            <w:vAlign w:val="center"/>
          </w:tcPr>
          <w:p>
            <w:pPr>
              <w:pStyle w:val="11"/>
            </w:pPr>
            <w:r>
              <w:t>1523.45</w:t>
            </w:r>
          </w:p>
        </w:tc>
        <w:tc>
          <w:tcPr>
            <w:tcW w:w="2551" w:type="dxa"/>
            <w:vAlign w:val="center"/>
          </w:tcPr>
          <w:p>
            <w:pPr>
              <w:pStyle w:val="11"/>
            </w:pPr>
            <w:r>
              <w:t>1054.95</w:t>
            </w:r>
          </w:p>
        </w:tc>
        <w:tc>
          <w:tcPr>
            <w:tcW w:w="2551" w:type="dxa"/>
            <w:vAlign w:val="center"/>
          </w:tcPr>
          <w:p>
            <w:pPr>
              <w:pStyle w:val="11"/>
            </w:pPr>
            <w:r>
              <w:t>468.50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2011101</w:t>
            </w:r>
          </w:p>
        </w:tc>
        <w:tc>
          <w:tcPr>
            <w:tcW w:w="4535" w:type="dxa"/>
            <w:vAlign w:val="center"/>
          </w:tcPr>
          <w:p>
            <w:pPr>
              <w:pStyle w:val="12"/>
            </w:pPr>
            <w:r>
              <w:t>行政运行</w:t>
            </w:r>
          </w:p>
        </w:tc>
        <w:tc>
          <w:tcPr>
            <w:tcW w:w="2551" w:type="dxa"/>
            <w:vAlign w:val="center"/>
          </w:tcPr>
          <w:p>
            <w:pPr>
              <w:pStyle w:val="11"/>
            </w:pPr>
            <w:r>
              <w:t>977.27</w:t>
            </w:r>
          </w:p>
        </w:tc>
        <w:tc>
          <w:tcPr>
            <w:tcW w:w="2551" w:type="dxa"/>
            <w:vAlign w:val="center"/>
          </w:tcPr>
          <w:p>
            <w:pPr>
              <w:pStyle w:val="11"/>
            </w:pPr>
            <w:r>
              <w:t>977.27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2011102</w:t>
            </w:r>
          </w:p>
        </w:tc>
        <w:tc>
          <w:tcPr>
            <w:tcW w:w="4535" w:type="dxa"/>
            <w:vAlign w:val="center"/>
          </w:tcPr>
          <w:p>
            <w:pPr>
              <w:pStyle w:val="12"/>
            </w:pPr>
            <w:r>
              <w:t>一般行政管理事务</w:t>
            </w:r>
          </w:p>
        </w:tc>
        <w:tc>
          <w:tcPr>
            <w:tcW w:w="2551" w:type="dxa"/>
            <w:vAlign w:val="center"/>
          </w:tcPr>
          <w:p>
            <w:pPr>
              <w:pStyle w:val="11"/>
            </w:pPr>
            <w:r>
              <w:t>408.50</w:t>
            </w:r>
          </w:p>
        </w:tc>
        <w:tc>
          <w:tcPr>
            <w:tcW w:w="2551" w:type="dxa"/>
            <w:vAlign w:val="center"/>
          </w:tcPr>
          <w:p>
            <w:pPr>
              <w:pStyle w:val="11"/>
            </w:pPr>
          </w:p>
        </w:tc>
        <w:tc>
          <w:tcPr>
            <w:tcW w:w="2551" w:type="dxa"/>
            <w:vAlign w:val="center"/>
          </w:tcPr>
          <w:p>
            <w:pPr>
              <w:pStyle w:val="11"/>
            </w:pPr>
            <w:r>
              <w:t>408.50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2011106</w:t>
            </w:r>
          </w:p>
        </w:tc>
        <w:tc>
          <w:tcPr>
            <w:tcW w:w="4535" w:type="dxa"/>
            <w:vAlign w:val="center"/>
          </w:tcPr>
          <w:p>
            <w:pPr>
              <w:pStyle w:val="12"/>
            </w:pPr>
            <w:r>
              <w:t>巡视工作</w:t>
            </w:r>
          </w:p>
        </w:tc>
        <w:tc>
          <w:tcPr>
            <w:tcW w:w="2551" w:type="dxa"/>
            <w:vAlign w:val="center"/>
          </w:tcPr>
          <w:p>
            <w:pPr>
              <w:pStyle w:val="11"/>
            </w:pPr>
            <w:r>
              <w:t>50.00</w:t>
            </w:r>
          </w:p>
        </w:tc>
        <w:tc>
          <w:tcPr>
            <w:tcW w:w="2551" w:type="dxa"/>
            <w:vAlign w:val="center"/>
          </w:tcPr>
          <w:p>
            <w:pPr>
              <w:pStyle w:val="11"/>
            </w:pPr>
          </w:p>
        </w:tc>
        <w:tc>
          <w:tcPr>
            <w:tcW w:w="2551" w:type="dxa"/>
            <w:vAlign w:val="center"/>
          </w:tcPr>
          <w:p>
            <w:pPr>
              <w:pStyle w:val="11"/>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2011150</w:t>
            </w:r>
          </w:p>
        </w:tc>
        <w:tc>
          <w:tcPr>
            <w:tcW w:w="4535" w:type="dxa"/>
            <w:vAlign w:val="center"/>
          </w:tcPr>
          <w:p>
            <w:pPr>
              <w:pStyle w:val="12"/>
            </w:pPr>
            <w:r>
              <w:t>事业运行</w:t>
            </w:r>
          </w:p>
        </w:tc>
        <w:tc>
          <w:tcPr>
            <w:tcW w:w="2551" w:type="dxa"/>
            <w:vAlign w:val="center"/>
          </w:tcPr>
          <w:p>
            <w:pPr>
              <w:pStyle w:val="11"/>
            </w:pPr>
            <w:r>
              <w:t>77.68</w:t>
            </w:r>
          </w:p>
        </w:tc>
        <w:tc>
          <w:tcPr>
            <w:tcW w:w="2551" w:type="dxa"/>
            <w:vAlign w:val="center"/>
          </w:tcPr>
          <w:p>
            <w:pPr>
              <w:pStyle w:val="11"/>
            </w:pPr>
            <w:r>
              <w:t>77.68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2011199</w:t>
            </w:r>
          </w:p>
        </w:tc>
        <w:tc>
          <w:tcPr>
            <w:tcW w:w="4535" w:type="dxa"/>
            <w:vAlign w:val="center"/>
          </w:tcPr>
          <w:p>
            <w:pPr>
              <w:pStyle w:val="12"/>
            </w:pPr>
            <w:r>
              <w:t>其他纪检监察事务支出</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176.90</w:t>
            </w:r>
          </w:p>
        </w:tc>
        <w:tc>
          <w:tcPr>
            <w:tcW w:w="2551" w:type="dxa"/>
            <w:vAlign w:val="center"/>
          </w:tcPr>
          <w:p>
            <w:pPr>
              <w:pStyle w:val="11"/>
            </w:pPr>
            <w:r>
              <w:t>176.90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176.90</w:t>
            </w:r>
          </w:p>
        </w:tc>
        <w:tc>
          <w:tcPr>
            <w:tcW w:w="2551" w:type="dxa"/>
            <w:vAlign w:val="center"/>
          </w:tcPr>
          <w:p>
            <w:pPr>
              <w:pStyle w:val="11"/>
            </w:pPr>
            <w:r>
              <w:t>176.90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50.50</w:t>
            </w:r>
          </w:p>
        </w:tc>
        <w:tc>
          <w:tcPr>
            <w:tcW w:w="2551" w:type="dxa"/>
            <w:vAlign w:val="center"/>
          </w:tcPr>
          <w:p>
            <w:pPr>
              <w:pStyle w:val="11"/>
            </w:pPr>
            <w:r>
              <w:t>50.50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126.40</w:t>
            </w:r>
          </w:p>
        </w:tc>
        <w:tc>
          <w:tcPr>
            <w:tcW w:w="2551" w:type="dxa"/>
            <w:vAlign w:val="center"/>
          </w:tcPr>
          <w:p>
            <w:pPr>
              <w:pStyle w:val="11"/>
            </w:pPr>
            <w:r>
              <w:t>126.40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47.25</w:t>
            </w:r>
          </w:p>
        </w:tc>
        <w:tc>
          <w:tcPr>
            <w:tcW w:w="2551" w:type="dxa"/>
            <w:vAlign w:val="center"/>
          </w:tcPr>
          <w:p>
            <w:pPr>
              <w:pStyle w:val="11"/>
            </w:pPr>
            <w:r>
              <w:t>47.25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47.25</w:t>
            </w:r>
          </w:p>
        </w:tc>
        <w:tc>
          <w:tcPr>
            <w:tcW w:w="2551" w:type="dxa"/>
            <w:vAlign w:val="center"/>
          </w:tcPr>
          <w:p>
            <w:pPr>
              <w:pStyle w:val="11"/>
            </w:pPr>
            <w:r>
              <w:t>47.25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43.56</w:t>
            </w:r>
          </w:p>
        </w:tc>
        <w:tc>
          <w:tcPr>
            <w:tcW w:w="2551" w:type="dxa"/>
            <w:vAlign w:val="center"/>
          </w:tcPr>
          <w:p>
            <w:pPr>
              <w:pStyle w:val="11"/>
            </w:pPr>
            <w:r>
              <w:t>43.56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3.69</w:t>
            </w:r>
          </w:p>
        </w:tc>
        <w:tc>
          <w:tcPr>
            <w:tcW w:w="2551" w:type="dxa"/>
            <w:vAlign w:val="center"/>
          </w:tcPr>
          <w:p>
            <w:pPr>
              <w:pStyle w:val="11"/>
            </w:pPr>
            <w:r>
              <w:t>3.69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99.90</w:t>
            </w:r>
          </w:p>
        </w:tc>
        <w:tc>
          <w:tcPr>
            <w:tcW w:w="2551" w:type="dxa"/>
            <w:vAlign w:val="center"/>
          </w:tcPr>
          <w:p>
            <w:pPr>
              <w:pStyle w:val="11"/>
            </w:pPr>
            <w:r>
              <w:t>99.90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99.90</w:t>
            </w:r>
          </w:p>
        </w:tc>
        <w:tc>
          <w:tcPr>
            <w:tcW w:w="2551" w:type="dxa"/>
            <w:vAlign w:val="center"/>
          </w:tcPr>
          <w:p>
            <w:pPr>
              <w:pStyle w:val="11"/>
            </w:pPr>
            <w:r>
              <w:t>99.90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99.90</w:t>
            </w:r>
          </w:p>
        </w:tc>
        <w:tc>
          <w:tcPr>
            <w:tcW w:w="2551" w:type="dxa"/>
            <w:vAlign w:val="center"/>
          </w:tcPr>
          <w:p>
            <w:pPr>
              <w:pStyle w:val="11"/>
            </w:pPr>
            <w:r>
              <w:t>99.90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222中国共产党衡水市冀州区纪律检查委员会</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2"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1379.00</w:t>
            </w:r>
          </w:p>
        </w:tc>
        <w:tc>
          <w:tcPr>
            <w:tcW w:w="2551" w:type="dxa"/>
            <w:vAlign w:val="center"/>
          </w:tcPr>
          <w:p>
            <w:pPr>
              <w:pStyle w:val="15"/>
            </w:pPr>
            <w:r>
              <w:t>1241.38</w:t>
            </w:r>
          </w:p>
        </w:tc>
        <w:tc>
          <w:tcPr>
            <w:tcW w:w="2552" w:type="dxa"/>
            <w:vAlign w:val="center"/>
          </w:tcPr>
          <w:p>
            <w:pPr>
              <w:pStyle w:val="15"/>
            </w:pPr>
            <w:r>
              <w:t>137.62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1185.94</w:t>
            </w:r>
          </w:p>
        </w:tc>
        <w:tc>
          <w:tcPr>
            <w:tcW w:w="2551" w:type="dxa"/>
            <w:vAlign w:val="center"/>
          </w:tcPr>
          <w:p>
            <w:pPr>
              <w:pStyle w:val="11"/>
            </w:pPr>
            <w:r>
              <w:t>1185.94</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379.13</w:t>
            </w:r>
          </w:p>
        </w:tc>
        <w:tc>
          <w:tcPr>
            <w:tcW w:w="2551" w:type="dxa"/>
            <w:vAlign w:val="center"/>
          </w:tcPr>
          <w:p>
            <w:pPr>
              <w:pStyle w:val="11"/>
            </w:pPr>
            <w:r>
              <w:t>379.13</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266.36</w:t>
            </w:r>
          </w:p>
        </w:tc>
        <w:tc>
          <w:tcPr>
            <w:tcW w:w="2551" w:type="dxa"/>
            <w:vAlign w:val="center"/>
          </w:tcPr>
          <w:p>
            <w:pPr>
              <w:pStyle w:val="11"/>
            </w:pPr>
            <w:r>
              <w:t>266.36</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224.24</w:t>
            </w:r>
          </w:p>
        </w:tc>
        <w:tc>
          <w:tcPr>
            <w:tcW w:w="2551" w:type="dxa"/>
            <w:vAlign w:val="center"/>
          </w:tcPr>
          <w:p>
            <w:pPr>
              <w:pStyle w:val="11"/>
            </w:pPr>
            <w:r>
              <w:t>224.24</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39.53</w:t>
            </w:r>
          </w:p>
        </w:tc>
        <w:tc>
          <w:tcPr>
            <w:tcW w:w="2551" w:type="dxa"/>
            <w:vAlign w:val="center"/>
          </w:tcPr>
          <w:p>
            <w:pPr>
              <w:pStyle w:val="11"/>
            </w:pPr>
            <w:r>
              <w:t>39.53</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126.40</w:t>
            </w:r>
          </w:p>
        </w:tc>
        <w:tc>
          <w:tcPr>
            <w:tcW w:w="2551" w:type="dxa"/>
            <w:vAlign w:val="center"/>
          </w:tcPr>
          <w:p>
            <w:pPr>
              <w:pStyle w:val="11"/>
            </w:pPr>
            <w:r>
              <w:t>126.40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47.25</w:t>
            </w:r>
          </w:p>
        </w:tc>
        <w:tc>
          <w:tcPr>
            <w:tcW w:w="2551" w:type="dxa"/>
            <w:vAlign w:val="center"/>
          </w:tcPr>
          <w:p>
            <w:pPr>
              <w:pStyle w:val="11"/>
            </w:pPr>
            <w:r>
              <w:t>47.25</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3.11</w:t>
            </w:r>
          </w:p>
        </w:tc>
        <w:tc>
          <w:tcPr>
            <w:tcW w:w="2551" w:type="dxa"/>
            <w:vAlign w:val="center"/>
          </w:tcPr>
          <w:p>
            <w:pPr>
              <w:pStyle w:val="11"/>
            </w:pPr>
            <w:r>
              <w:t>3.11</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99.90</w:t>
            </w:r>
          </w:p>
        </w:tc>
        <w:tc>
          <w:tcPr>
            <w:tcW w:w="2551" w:type="dxa"/>
            <w:vAlign w:val="center"/>
          </w:tcPr>
          <w:p>
            <w:pPr>
              <w:pStyle w:val="11"/>
            </w:pPr>
            <w:r>
              <w:t>99.90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0.01</w:t>
            </w:r>
          </w:p>
        </w:tc>
        <w:tc>
          <w:tcPr>
            <w:tcW w:w="2551" w:type="dxa"/>
            <w:vAlign w:val="center"/>
          </w:tcPr>
          <w:p>
            <w:pPr>
              <w:pStyle w:val="11"/>
            </w:pPr>
            <w:r>
              <w:t>0.01</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137.62</w:t>
            </w:r>
          </w:p>
        </w:tc>
        <w:tc>
          <w:tcPr>
            <w:tcW w:w="2551" w:type="dxa"/>
            <w:vAlign w:val="center"/>
          </w:tcPr>
          <w:p>
            <w:pPr>
              <w:pStyle w:val="11"/>
            </w:pPr>
          </w:p>
        </w:tc>
        <w:tc>
          <w:tcPr>
            <w:tcW w:w="2552" w:type="dxa"/>
            <w:vAlign w:val="center"/>
          </w:tcPr>
          <w:p>
            <w:pPr>
              <w:pStyle w:val="11"/>
            </w:pPr>
            <w:r>
              <w:t>137.62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37.20</w:t>
            </w:r>
          </w:p>
        </w:tc>
        <w:tc>
          <w:tcPr>
            <w:tcW w:w="2551" w:type="dxa"/>
            <w:vAlign w:val="center"/>
          </w:tcPr>
          <w:p>
            <w:pPr>
              <w:pStyle w:val="11"/>
            </w:pPr>
          </w:p>
        </w:tc>
        <w:tc>
          <w:tcPr>
            <w:tcW w:w="2552" w:type="dxa"/>
            <w:vAlign w:val="center"/>
          </w:tcPr>
          <w:p>
            <w:pPr>
              <w:pStyle w:val="11"/>
            </w:pPr>
            <w:r>
              <w:t>37.20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8.58</w:t>
            </w:r>
          </w:p>
        </w:tc>
        <w:tc>
          <w:tcPr>
            <w:tcW w:w="2551" w:type="dxa"/>
            <w:vAlign w:val="center"/>
          </w:tcPr>
          <w:p>
            <w:pPr>
              <w:pStyle w:val="11"/>
            </w:pPr>
          </w:p>
        </w:tc>
        <w:tc>
          <w:tcPr>
            <w:tcW w:w="2552" w:type="dxa"/>
            <w:vAlign w:val="center"/>
          </w:tcPr>
          <w:p>
            <w:pPr>
              <w:pStyle w:val="11"/>
            </w:pPr>
            <w:r>
              <w:t>8.58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4.52</w:t>
            </w:r>
          </w:p>
        </w:tc>
        <w:tc>
          <w:tcPr>
            <w:tcW w:w="2551" w:type="dxa"/>
            <w:vAlign w:val="center"/>
          </w:tcPr>
          <w:p>
            <w:pPr>
              <w:pStyle w:val="11"/>
            </w:pPr>
          </w:p>
        </w:tc>
        <w:tc>
          <w:tcPr>
            <w:tcW w:w="2552" w:type="dxa"/>
            <w:vAlign w:val="center"/>
          </w:tcPr>
          <w:p>
            <w:pPr>
              <w:pStyle w:val="11"/>
            </w:pPr>
            <w:r>
              <w:t>4.52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30215</w:t>
            </w:r>
          </w:p>
        </w:tc>
        <w:tc>
          <w:tcPr>
            <w:tcW w:w="4535" w:type="dxa"/>
            <w:vAlign w:val="center"/>
          </w:tcPr>
          <w:p>
            <w:pPr>
              <w:pStyle w:val="12"/>
            </w:pPr>
            <w:r>
              <w:t>会议费</w:t>
            </w:r>
          </w:p>
        </w:tc>
        <w:tc>
          <w:tcPr>
            <w:tcW w:w="2551" w:type="dxa"/>
            <w:vAlign w:val="center"/>
          </w:tcPr>
          <w:p>
            <w:pPr>
              <w:pStyle w:val="11"/>
            </w:pPr>
            <w:r>
              <w:t>5.00</w:t>
            </w:r>
          </w:p>
        </w:tc>
        <w:tc>
          <w:tcPr>
            <w:tcW w:w="2551" w:type="dxa"/>
            <w:vAlign w:val="center"/>
          </w:tcPr>
          <w:p>
            <w:pPr>
              <w:pStyle w:val="11"/>
            </w:pPr>
          </w:p>
        </w:tc>
        <w:tc>
          <w:tcPr>
            <w:tcW w:w="2552"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12.40</w:t>
            </w:r>
          </w:p>
        </w:tc>
        <w:tc>
          <w:tcPr>
            <w:tcW w:w="2551" w:type="dxa"/>
            <w:vAlign w:val="center"/>
          </w:tcPr>
          <w:p>
            <w:pPr>
              <w:pStyle w:val="11"/>
            </w:pPr>
          </w:p>
        </w:tc>
        <w:tc>
          <w:tcPr>
            <w:tcW w:w="2552" w:type="dxa"/>
            <w:vAlign w:val="center"/>
          </w:tcPr>
          <w:p>
            <w:pPr>
              <w:pStyle w:val="11"/>
            </w:pPr>
            <w:r>
              <w:t>12.40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10.88</w:t>
            </w:r>
          </w:p>
        </w:tc>
        <w:tc>
          <w:tcPr>
            <w:tcW w:w="2551" w:type="dxa"/>
            <w:vAlign w:val="center"/>
          </w:tcPr>
          <w:p>
            <w:pPr>
              <w:pStyle w:val="11"/>
            </w:pPr>
          </w:p>
        </w:tc>
        <w:tc>
          <w:tcPr>
            <w:tcW w:w="2552" w:type="dxa"/>
            <w:vAlign w:val="center"/>
          </w:tcPr>
          <w:p>
            <w:pPr>
              <w:pStyle w:val="11"/>
            </w:pPr>
            <w:r>
              <w:t>10.88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6.00</w:t>
            </w:r>
          </w:p>
        </w:tc>
        <w:tc>
          <w:tcPr>
            <w:tcW w:w="2551" w:type="dxa"/>
            <w:vAlign w:val="center"/>
          </w:tcPr>
          <w:p>
            <w:pPr>
              <w:pStyle w:val="11"/>
            </w:pPr>
          </w:p>
        </w:tc>
        <w:tc>
          <w:tcPr>
            <w:tcW w:w="2552" w:type="dxa"/>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53.04</w:t>
            </w:r>
          </w:p>
        </w:tc>
        <w:tc>
          <w:tcPr>
            <w:tcW w:w="2551" w:type="dxa"/>
            <w:vAlign w:val="center"/>
          </w:tcPr>
          <w:p>
            <w:pPr>
              <w:pStyle w:val="11"/>
            </w:pPr>
          </w:p>
        </w:tc>
        <w:tc>
          <w:tcPr>
            <w:tcW w:w="2552" w:type="dxa"/>
            <w:vAlign w:val="center"/>
          </w:tcPr>
          <w:p>
            <w:pPr>
              <w:pStyle w:val="11"/>
            </w:pPr>
            <w:r>
              <w:t>53.04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0.00</w:t>
            </w:r>
          </w:p>
        </w:tc>
        <w:tc>
          <w:tcPr>
            <w:tcW w:w="2551" w:type="dxa"/>
            <w:vAlign w:val="center"/>
          </w:tcPr>
          <w:p>
            <w:pPr>
              <w:pStyle w:val="11"/>
            </w:pPr>
          </w:p>
        </w:tc>
        <w:tc>
          <w:tcPr>
            <w:tcW w:w="2552" w:type="dxa"/>
            <w:vAlign w:val="center"/>
          </w:tcPr>
          <w:p>
            <w:pPr>
              <w:pStyle w:val="11"/>
            </w:pPr>
            <w: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55.44</w:t>
            </w:r>
          </w:p>
        </w:tc>
        <w:tc>
          <w:tcPr>
            <w:tcW w:w="2551" w:type="dxa"/>
            <w:vAlign w:val="center"/>
          </w:tcPr>
          <w:p>
            <w:pPr>
              <w:pStyle w:val="11"/>
            </w:pPr>
            <w:r>
              <w:t>55.44</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50.50</w:t>
            </w:r>
          </w:p>
        </w:tc>
        <w:tc>
          <w:tcPr>
            <w:tcW w:w="2551" w:type="dxa"/>
            <w:vAlign w:val="center"/>
          </w:tcPr>
          <w:p>
            <w:pPr>
              <w:pStyle w:val="11"/>
            </w:pPr>
            <w:r>
              <w:t>50.50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4.86</w:t>
            </w:r>
          </w:p>
        </w:tc>
        <w:tc>
          <w:tcPr>
            <w:tcW w:w="2551" w:type="dxa"/>
            <w:vAlign w:val="center"/>
          </w:tcPr>
          <w:p>
            <w:pPr>
              <w:pStyle w:val="11"/>
            </w:pPr>
            <w:r>
              <w:t>4.86</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0.07</w:t>
            </w:r>
          </w:p>
        </w:tc>
        <w:tc>
          <w:tcPr>
            <w:tcW w:w="2551" w:type="dxa"/>
            <w:vAlign w:val="center"/>
          </w:tcPr>
          <w:p>
            <w:pPr>
              <w:pStyle w:val="11"/>
            </w:pPr>
            <w:r>
              <w:t>0.07</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30399</w:t>
            </w:r>
          </w:p>
        </w:tc>
        <w:tc>
          <w:tcPr>
            <w:tcW w:w="4535" w:type="dxa"/>
            <w:vAlign w:val="center"/>
          </w:tcPr>
          <w:p>
            <w:pPr>
              <w:pStyle w:val="12"/>
            </w:pPr>
            <w:r>
              <w:t>其他对个人和家庭的补助</w:t>
            </w:r>
          </w:p>
        </w:tc>
        <w:tc>
          <w:tcPr>
            <w:tcW w:w="2551" w:type="dxa"/>
            <w:vAlign w:val="center"/>
          </w:tcPr>
          <w:p>
            <w:pPr>
              <w:pStyle w:val="11"/>
            </w:pPr>
            <w:r>
              <w:t>0.01</w:t>
            </w:r>
          </w:p>
        </w:tc>
        <w:tc>
          <w:tcPr>
            <w:tcW w:w="2551" w:type="dxa"/>
            <w:vAlign w:val="center"/>
          </w:tcPr>
          <w:p>
            <w:pPr>
              <w:pStyle w:val="11"/>
            </w:pPr>
            <w:r>
              <w:t>0.01</w:t>
            </w:r>
          </w:p>
        </w:tc>
        <w:tc>
          <w:tcPr>
            <w:tcW w:w="2552"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222中国共产党衡水市冀州区纪律检查委员会</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222中国共产党衡水市冀州区纪律检查委员会</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222中国共产党衡水市冀州区纪律检查委员会</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2" w:type="dxa"/>
            <w:vAlign w:val="center"/>
          </w:tcPr>
          <w:p>
            <w:pPr>
              <w:pStyle w:val="15"/>
            </w:pPr>
            <w:r>
              <w:t>55.18</w:t>
            </w:r>
          </w:p>
        </w:tc>
        <w:tc>
          <w:tcPr>
            <w:tcW w:w="2381" w:type="dxa"/>
            <w:vAlign w:val="center"/>
          </w:tcPr>
          <w:p>
            <w:pPr>
              <w:pStyle w:val="15"/>
            </w:pPr>
            <w:r>
              <w:t>55.18</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2" w:type="dxa"/>
            <w:vAlign w:val="center"/>
          </w:tcPr>
          <w:p>
            <w:pPr>
              <w:pStyle w:val="11"/>
            </w:pPr>
            <w:r>
              <w:t>55.18</w:t>
            </w:r>
          </w:p>
        </w:tc>
        <w:tc>
          <w:tcPr>
            <w:tcW w:w="2381" w:type="dxa"/>
            <w:vAlign w:val="center"/>
          </w:tcPr>
          <w:p>
            <w:pPr>
              <w:pStyle w:val="11"/>
            </w:pPr>
            <w:r>
              <w:t>55.18</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2" w:type="dxa"/>
            <w:vAlign w:val="center"/>
          </w:tcPr>
          <w:p>
            <w:pPr>
              <w:pStyle w:val="11"/>
            </w:pPr>
            <w:r>
              <w:t>41.18</w:t>
            </w:r>
          </w:p>
        </w:tc>
        <w:tc>
          <w:tcPr>
            <w:tcW w:w="2381" w:type="dxa"/>
            <w:vAlign w:val="center"/>
          </w:tcPr>
          <w:p>
            <w:pPr>
              <w:pStyle w:val="11"/>
            </w:pPr>
            <w:r>
              <w:t>41.18</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2" w:type="dxa"/>
            <w:vAlign w:val="center"/>
          </w:tcPr>
          <w:p>
            <w:pPr>
              <w:pStyle w:val="11"/>
            </w:pPr>
            <w:r>
              <w:t>41.18</w:t>
            </w:r>
          </w:p>
        </w:tc>
        <w:tc>
          <w:tcPr>
            <w:tcW w:w="2381" w:type="dxa"/>
            <w:vAlign w:val="center"/>
          </w:tcPr>
          <w:p>
            <w:pPr>
              <w:pStyle w:val="11"/>
            </w:pPr>
            <w:r>
              <w:t>41.18</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2" w:type="dxa"/>
            <w:vAlign w:val="center"/>
          </w:tcPr>
          <w:p>
            <w:pPr>
              <w:pStyle w:val="11"/>
            </w:pPr>
            <w:r>
              <w:t>14.00</w:t>
            </w:r>
          </w:p>
        </w:tc>
        <w:tc>
          <w:tcPr>
            <w:tcW w:w="2381" w:type="dxa"/>
            <w:vAlign w:val="center"/>
          </w:tcPr>
          <w:p>
            <w:pPr>
              <w:pStyle w:val="11"/>
            </w:pPr>
            <w:r>
              <w:t>14.00</w:t>
            </w:r>
          </w:p>
        </w:tc>
        <w:tc>
          <w:tcPr>
            <w:tcW w:w="2381" w:type="dxa"/>
            <w:vAlign w:val="center"/>
          </w:tcPr>
          <w:p>
            <w:pPr>
              <w:pStyle w:val="11"/>
            </w:pPr>
          </w:p>
        </w:tc>
        <w:tc>
          <w:tcPr>
            <w:tcW w:w="2381" w:type="dxa"/>
            <w:vAlign w:val="center"/>
          </w:tcPr>
          <w:p>
            <w:pPr>
              <w:pStyle w:val="11"/>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中国共产党衡水市冀州区纪律检查委员会2024年部门预算信息公开情况说明</w:t>
      </w:r>
    </w:p>
    <w:p>
      <w:pPr>
        <w:jc w:val="center"/>
      </w:pPr>
      <w:r>
        <w:rPr>
          <w:rFonts w:ascii="方正小标宋_GBK" w:hAnsi="方正小标宋_GBK" w:eastAsia="方正小标宋_GBK" w:cs="方正小标宋_GBK"/>
          <w:color w:val="000000"/>
          <w:sz w:val="44"/>
        </w:rPr>
        <w:t>中国共产党衡水市冀州区纪律检查委员会2024年部门预算信息公开情况说明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按照《中华人民共和国预算法》、《地方预决算公开操作规程》和《关于进一步推进预算公开工作的实施意见》规定，现将中国共产党衡水市冀州区纪律检查委员会2024年部门预算公开如下：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根据《中国共产党衡水市冀州区纪律检查委员会职能配置、内设机构和人员编制规定》， 中国共产党衡水市冀州区纪律检查委员会的主要职责是：</w:t>
      </w:r>
    </w:p>
    <w:p>
      <w:pPr>
        <w:pStyle w:val="17"/>
      </w:pPr>
      <w:r>
        <w:t>（一）办案问责。始终保持高压遏制，维护党纪国法尊严，以强有力地震慑巩固反腐败斗争压倒性态势。坚持无禁区、全覆盖、零容忍，坚持重遏制、强高压、长震慑，坚持受贿行贿一起查，形成持续震慑。</w:t>
      </w:r>
    </w:p>
    <w:p>
      <w:pPr>
        <w:pStyle w:val="17"/>
      </w:pPr>
      <w:r>
        <w:t>（二）党风廉政建设。加强党的政治建设，以首位意识确保党的领导更加坚强有力。党的政治建设是党的根本性建设，决定党的建设方向。各级纪检监察组织必须时时、处处、事事旗帜鲜明地讲政治，把党的政治建设摆在首位，贯穿于全面从严治党全过程。加强党的纪律建设，以刚性约束为各项建设提供规范和保障。纪律是党的生命。党的十九大把纪律建设摆在更加突出位置，纳入党的建设总体布局。要切实做到真管真严、敢管敢严、常管长严，使纪律成为“带电高压线”。积极发加强党风廉政建设，营造风清气正、干事创业的工作氛围。</w:t>
      </w:r>
    </w:p>
    <w:p>
      <w:pPr>
        <w:pStyle w:val="17"/>
      </w:pPr>
      <w:r>
        <w:t>（三）监督检查及巡察监督。积极开展专项治理，以刮骨疗毒的决心坚决整治群众身边的腐败问题。落实以人民为中心的发展思想，重点在于严肃整治侵害群众利益的“蝇贪”，着力解决群众身边腐败问题。凡是群众反映强烈的问题都要严肃认真对待，凡是损害群众利益的行为都要坚决纠正。覆盖监督破解问题，以政治生态巡察强化利剑遏制治本作用。敢抓敢管直面问题，以压实两个责任推进全面从严治党落地生根。切实履行监督责任。各级纪检监察组织要把检查责任落实情况作为监督执纪的重点，针对发现的问题及时提醒约谈、督促限期整改，着力解决责任虚化空转的问题。严格执行问责条例。对党的领导弱化、党的建设缺失、全面从严治党责任落实不到位的，维护党的政治纪律和政治规矩失责、贯彻中央八项规定精神不力、选人用人问题突出、腐败问题严重、不作为乱作为的，要敢于问责、曝光典型；对该问责而不问责的，既要追究主体责任、监督责任，又要严肃追究领导责任。</w:t>
      </w:r>
    </w:p>
    <w:p>
      <w:pPr>
        <w:pStyle w:val="17"/>
      </w:pPr>
      <w:r>
        <w:t>（四）乡镇纪委管理。对乡镇纪委实施“三统一”，即乡镇纪检干部的日常管理、工作考核、经费保障统一管理，以增强乡镇纪委监督的独立性和权威性。同时探索纪检监察室与乡镇纪委捆绑办案机制，梳理乡镇办案流程，规范乡镇办案文书，每个监察室“手把手”带领2个乡镇纪委办案，提高乡镇自办案件质量，既提高了办案效率，又推动乡镇纪委“回归主业”，同时也锻炼乡镇队伍。</w:t>
      </w:r>
    </w:p>
    <w:p>
      <w:pPr>
        <w:pStyle w:val="17"/>
      </w:pPr>
      <w:r>
        <w:t>（五）纪检事务管理。提升素质深度融合，以自我革新净化的决心全力打造纪检监察铁军。监察体制改革赋予“新的使命”。国家监察体制改革，目的就是加强党对党风廉政建设和反腐败工作的统一领导。严格执行宪法和监察法，建立分析研判政治生态状况、听取重大案件情况报告的制度，对严重违纪违法审查调查和处置决策严格把关；要健全素质能力提升机制。各级纪检监察组织面临着监督范围扩展、纪法衔接、法法衔接等诸多挑战，研读实践《监督执纪工作规则》，深入开展纪检监察干部“提素质、强能力、再出发”活动，营造“大学习、大培训、大提升”氛围。</w:t>
      </w:r>
    </w:p>
    <w:p>
      <w:pPr>
        <w:pStyle w:val="17"/>
      </w:pPr>
      <w:r>
        <w:t xml:space="preserve">（六）国家监察职能。对全区所有行使公权力的公职人员依法履职、秉公用权、廉洁从政从业以及道德操守情况进行监督检查。对涉嫌贪污贿赂、滥用职权、玩忽职守、权力寻租、利益输送、徇私舞弊以及浪费国家资产等职务违法和职务犯罪进行调查。对涉嫌职务犯罪的，将调查结果移送检察机关依法提起公诉。维护宪法和法律的尊严，有效遏制腐败现象。 </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中国共产党衡水市冀州区纪律检查委员会本级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18"/>
      </w:pPr>
      <w:r>
        <w:t>按照预算管理有关规定，目前部门预算的编制实行综合预算管理，即全部收入和支出都反映在预算中。中国共产党衡水市冀州区纪律检查委员会机关及所属事业单位的收支包含在部门预算中。</w:t>
      </w:r>
    </w:p>
    <w:p>
      <w:pPr>
        <w:pStyle w:val="18"/>
      </w:pPr>
      <w:r>
        <w:t>1、收入说明</w:t>
      </w:r>
    </w:p>
    <w:p>
      <w:pPr>
        <w:pStyle w:val="18"/>
      </w:pPr>
      <w:r>
        <w:t>反映本部门当年全部收入。2024年预算收入1847.50万元，其中：一般公共预算收入1847.50万元，基金预算收入0.00万元，国有资本经营预算收入0.00万元，财政专户核拨收入0.00万元，单位资金收入0.00万元，上年结转结余0.00万元。</w:t>
      </w:r>
    </w:p>
    <w:p>
      <w:pPr>
        <w:pStyle w:val="18"/>
      </w:pPr>
      <w:r>
        <w:t>2、支出说明</w:t>
      </w:r>
    </w:p>
    <w:p>
      <w:pPr>
        <w:pStyle w:val="18"/>
        <w:rPr>
          <w:rFonts w:hint="eastAsia" w:eastAsia="方正仿宋_GBK"/>
          <w:lang w:eastAsia="zh-CN"/>
        </w:rPr>
      </w:pPr>
      <w:r>
        <w:t>收支预算总表支出栏、基本支出表、项目支出表按经济分类和支出功能分类科目编制，反映中国共产党衡水市冀州区纪律检查委员会年度部门预算中支出预算的总体情况。2024年支出预算1847.50万元，其中基本支出1379.00万元，包括人员经费1241.38万元和日常公用经费137.62万元；项目支出468.50万元，主要为乡镇纪委建设专用经费（运转保障）资金50.00万元、司机、安保服务费用资金30.00万元、巡察工作专项经费资金50.00万元、涉密网络建设资金55.00万元、档案数字加工及整理服务资金25.00万元、保障公用经费（运转保障）资金150.00万元、党员教育活动经费资金0.50万元、办案一体化工作平台建设资金50.00万元、安可计算机终端替代工程资金48.00万元</w:t>
      </w:r>
      <w:r>
        <w:rPr>
          <w:rFonts w:hint="eastAsia"/>
          <w:lang w:eastAsia="zh-CN"/>
        </w:rPr>
        <w:t>。</w:t>
      </w:r>
    </w:p>
    <w:p>
      <w:pPr>
        <w:pStyle w:val="18"/>
      </w:pPr>
      <w:r>
        <w:t>3、比上年增减情况</w:t>
      </w:r>
    </w:p>
    <w:p>
      <w:pPr>
        <w:pStyle w:val="18"/>
        <w:rPr>
          <w:rFonts w:hint="eastAsia" w:eastAsia="方正仿宋_GBK"/>
          <w:lang w:eastAsia="zh-CN"/>
        </w:rPr>
      </w:pPr>
      <w:r>
        <w:t>2024年预算收支安排1847.50万元，较2023年预算减少39.05万元，其中：基本支出增加31.95万元，主要为人员增加及人员工资上浮造成的人员经费增加项目支出减少71.00万元，主要为较2023年减少执法办案专项工作经费</w:t>
      </w:r>
      <w:r>
        <w:rPr>
          <w:rFonts w:hint="eastAsia"/>
          <w:lang w:eastAsia="zh-CN"/>
        </w:rPr>
        <w:t>。</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9"/>
      </w:pPr>
      <w:r>
        <w:t>2024年，我部门机关运行经费共计安排137.62万元，主要用于日常维修、办公用房水电费、办公用房取暖费、办公用房物业管理费等日常运行支出。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rPr>
          <w:rFonts w:hint="eastAsia" w:eastAsia="方正仿宋_GBK"/>
          <w:lang w:eastAsia="zh-CN"/>
        </w:rPr>
      </w:pPr>
      <w:r>
        <w:t>2024年，我部门财政拨款“三公”经费预算安排55.18万元，其中因公出国（境）费0.00万元；公务用车购置及运维费41.18万元（其中：公务用车购置费为0.00万元，公务用车运维费41.18万元)；公务接待费14.00万元。与2023年相比减少18.00万元，增减变化的主要原因是上年度申请购买公务用车1辆</w:t>
      </w:r>
      <w:r>
        <w:rPr>
          <w:rFonts w:hint="eastAsia"/>
          <w:lang w:eastAsia="zh-CN"/>
        </w:rPr>
        <w:t>。</w:t>
      </w: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21"/>
      </w:pPr>
      <w:r>
        <w:t>总体绩效目标</w:t>
      </w:r>
    </w:p>
    <w:p>
      <w:pPr>
        <w:pStyle w:val="21"/>
      </w:pPr>
      <w:r>
        <w:t>2024年，我委将以习近平新时代中国特色社会主义思想为指导，深入贯彻党的二十大和十九届二中、三中、四中、五中、六中、六中全会精神，增强“四个意识”、坚定“四个自信”、做到“两个维护”，坚定不移全面从严治党，坚持和完善党和国家监督体系，忠实履行党章和宪法赋予的职责，有力推动党中央、省市区委决策部署有效落实，发挥监督保障执行、促进完善发展作用，一体推进不敢腐、不能腐、不想腐，深化纪检监察体制改革，扎实推进规范化法治化建设，切实加强干部队伍建设，为开启全面建设社会主义现代化国家新征程提供坚强保证。</w:t>
      </w:r>
    </w:p>
    <w:p>
      <w:pPr>
        <w:pStyle w:val="21"/>
      </w:pPr>
      <w:r>
        <w:t xml:space="preserve">（一）突出“两个维护”政治任务，在监督保障执行促进完善发展上精准发力。牢牢把握政治监督定位，聚焦习近平总书记重要指示批示落实，紧盯党的路线方针政策和党中央重大决策部署，跟进监督、精准监督、做实监督。积极协助区委履行全面从严治党主体责任，进一步发挥反腐败协调小组作用，推动主体责任、监督责任贯通协同、落到实处，巩固冀州良好政治生态。 </w:t>
      </w:r>
    </w:p>
    <w:p>
      <w:pPr>
        <w:pStyle w:val="21"/>
      </w:pPr>
      <w:r>
        <w:t>（二）推进“巡视整改”举一反三，不断把握新形势新任务高质量推进工作。把省委第巡视作为检验“四个意识”的“试金石”，运用好省委巡视反馈意见，把落实整改过程，作为梳理工作、查找差距、改进提高的过程，确保巡视反馈问题条条有着落、事事有回音、件件有实效。努力形成研究问题、查找根源、制定措施、举一反三、建章立制的完整“链条”，确保整改工作的系统性、完整性。</w:t>
      </w:r>
    </w:p>
    <w:p>
      <w:pPr>
        <w:pStyle w:val="21"/>
      </w:pPr>
      <w:r>
        <w:t>（三）坚持“三不机制”一体推进，进一步巩固和发展反腐败斗争压倒性胜利。坚持无禁区、全覆盖、零容忍，坚持重遏制、强高压、长震慑，做到受贿行贿一起查。持续落实“存量清零、增量随清”要求，将工作重心放到化解问题、息诉罢访和群众满意上，提高办案质效，做到案结事了。坚持标本兼治，做深查办案件的“后半篇文章”，以案释德、以案释纪、以案释法。</w:t>
      </w:r>
    </w:p>
    <w:p>
      <w:pPr>
        <w:pStyle w:val="21"/>
      </w:pPr>
      <w:r>
        <w:t>（四）构建“四位一体”监督格局，最大程度地提高群众满意度获得感。把监督挺在前面，进一步织密纪律监督、监察监督、派驻监督、巡视巡察监督网络，逐步建立权责清晰、衔接顺畅、协同高效的联动机制。加强对“一把手”和领导班子监督，扭住落实中央八项规定精神不放，综合运用明察暗访、专项整治、谈心谈话、列席会议、督促巡察整改落实等方式，久久为功，推动化风成俗。</w:t>
      </w:r>
    </w:p>
    <w:p>
      <w:pPr>
        <w:pStyle w:val="21"/>
      </w:pPr>
      <w:r>
        <w:t>（五）严管厚爱“净化提升”，不断增强纪检干部践行忠诚干净担当的执行力。重点在补齐业务短板、整合人员力量、自我革新净化方面用力，持续深化三项改革，加强纪法贯通、法法衔接工作，落实“两为主一报告”，建立区乡纪委指定交叉办案、协办领办机制，健全完善“办案人才库”。建立健全内部监督机制，持续防治“灯下黑”，做党和人民的忠诚卫士，为建设生态宜居富美新冀州作出更大贡献。</w:t>
      </w:r>
    </w:p>
    <w:p>
      <w:pPr>
        <w:spacing w:line="500" w:lineRule="exact"/>
        <w:ind w:firstLine="560"/>
      </w:pPr>
      <w:r>
        <w:rPr>
          <w:rFonts w:eastAsia="方正仿宋_GBK"/>
          <w:color w:val="000000"/>
          <w:sz w:val="28"/>
        </w:rPr>
        <w:t>（二）分项绩效目标</w:t>
      </w:r>
    </w:p>
    <w:p>
      <w:pPr>
        <w:pStyle w:val="22"/>
      </w:pPr>
      <w:r>
        <w:t>分项绩效目标</w:t>
      </w:r>
    </w:p>
    <w:p>
      <w:pPr>
        <w:pStyle w:val="22"/>
      </w:pPr>
      <w:r>
        <w:t>（一）进一步加强对违纪违法案件的监督问责。</w:t>
      </w:r>
    </w:p>
    <w:p>
      <w:pPr>
        <w:pStyle w:val="22"/>
      </w:pPr>
      <w:r>
        <w:t>始终保持高压遏制，维护党纪国法尊严，以强有力地震慑巩固反腐败斗争压倒性态势。坚持无禁区、全覆盖、零容忍，坚持重遏制、强高压、长震慑，坚持受贿行贿一起查，形成持续震慑。</w:t>
      </w:r>
    </w:p>
    <w:p>
      <w:pPr>
        <w:pStyle w:val="22"/>
      </w:pPr>
      <w:r>
        <w:t>绩效指标：全年办结案件率提高到80%，错案率降低到10%以下，群众对纪委办案问责情况满意程度提高到90%以上。</w:t>
      </w:r>
    </w:p>
    <w:p>
      <w:pPr>
        <w:pStyle w:val="22"/>
      </w:pPr>
      <w:r>
        <w:t>（二）进一步推进党风廉政建设工作。</w:t>
      </w:r>
    </w:p>
    <w:p>
      <w:pPr>
        <w:pStyle w:val="22"/>
      </w:pPr>
      <w:r>
        <w:t>加强党的政治建设，以首位意识确保党的领导更加坚强有力。党的政治建设是党的根本性建设，决定党的建设方向。各级纪检监察组织必须时时、处处、事事旗帜鲜明地讲政治，把党的政治建设摆在首位，贯穿于全面从严治党全过程。加强党的纪律建设，以刚性约束为各项建设提供规范和保障。纪律是党的生命。党的二十大把纪律建设摆在更加突出位置，纳入党的建设总体布局。要切实做到真管真严、敢管敢严、常管长严，使纪律成为“带电高压线”。积极发加强党风廉政建设，营造风清气正、干事创业的工作氛围。</w:t>
      </w:r>
    </w:p>
    <w:p>
      <w:pPr>
        <w:pStyle w:val="22"/>
      </w:pPr>
      <w:r>
        <w:t>绩效指标：2024年，纪委全体人员开展反腐倡廉宣传教育学习不少于5次，领导干部开展廉洁从政教育活动不少于3次，严格控制三公经费使用和管理，三公经费支出同比2023年压减5%，确保单位没有违规收受礼金、购物卡等行为，没有利用职权谋取不正当利益的行为，没有违反规定发放津贴补贴和奖金福利的行为。</w:t>
      </w:r>
    </w:p>
    <w:p>
      <w:pPr>
        <w:pStyle w:val="22"/>
      </w:pPr>
      <w:r>
        <w:t>（三）进一步加大监督检查及巡察监督工作力度。</w:t>
      </w:r>
    </w:p>
    <w:p>
      <w:pPr>
        <w:pStyle w:val="22"/>
      </w:pPr>
      <w:r>
        <w:t>积极开展专项治理，以刮骨疗毒的决心坚决整治群众身边的腐败问题。落实以人民为中心的发展思想，重点在于严肃整治侵害群众利益的“蝇贪”，着力解决群众身边腐败问题。凡是群众反映强烈的问题都要严肃认真对待，凡是损害群众利益的行为都要坚决纠正。覆盖监督破解问题，以政治生态巡察强化利剑遏制治本作用。按照区委五年巡察工作规划，今年将对2个乡镇，18个区直部门进行常规巡察工作，共分3轮进行，完成全覆盖任务，并延伸巡察20个行政村。敢抓敢管直面问题，以压实两个责任推进全面从严治党落地生根。切实履行监督责任。各级纪检监察组织要把检查责任落实情况作为监督执纪的重点，针对发现的问题及时提醒约谈、督促限期整改，着力解决责任虚化空转的问题。严格执行问责条例。对党的领导弱化、党的建设缺失、全面从严治党责任落实不到位的，维护党的政治纪律和政治规矩失责、贯彻中央八项规定精神不力、选人用人问题突出、腐败问题严重、不作为乱作为的，要敢于问责、曝光典型；对该问责而不问责的，既要追究主体责任、监督责任，又要严肃追究领导责任。</w:t>
      </w:r>
    </w:p>
    <w:p>
      <w:pPr>
        <w:pStyle w:val="22"/>
      </w:pPr>
      <w:r>
        <w:t>绩效指标：2024年，开展县区交叉巡察工作不少于4次，组织开展本区常规巡察不少于5次，完成全覆盖巡察任务，认真履行监督责任，及时提醒约谈不少于3次，督促整改问题不少于5个。</w:t>
      </w:r>
    </w:p>
    <w:p>
      <w:pPr>
        <w:pStyle w:val="22"/>
      </w:pPr>
      <w:r>
        <w:t>（四）进一步完善对乡镇纪委的管理。</w:t>
      </w:r>
    </w:p>
    <w:p>
      <w:pPr>
        <w:pStyle w:val="22"/>
      </w:pPr>
      <w:r>
        <w:t>对乡镇纪委实施“三统一”，即乡镇纪检干部的日常管理、工作考核、经费保障统一管理，以增强乡镇纪委监督的独立性和权威性。同时探索纪检监察室与乡镇纪委捆绑办案机制，梳理乡镇办案流程，规范乡镇办案文书，每个监察室“手把手”带领2个乡镇纪委办案，提高乡镇自办案件质量，既提高了办案效率，又推动乡镇纪委“回归主业”，同时也锻炼乡镇队伍。</w:t>
      </w:r>
    </w:p>
    <w:p>
      <w:pPr>
        <w:pStyle w:val="22"/>
      </w:pPr>
      <w:r>
        <w:t xml:space="preserve">绩效指标：2024年，为乡镇纪委购置办公设备不少于10件，乡镇纪委信息化建设工作较2023年提高不少于10%，办案效率较2023年相比至少提升5%，达到提升乡镇纪委形象的目标。 </w:t>
      </w:r>
    </w:p>
    <w:p>
      <w:pPr>
        <w:spacing w:line="500" w:lineRule="exact"/>
        <w:ind w:firstLine="560"/>
      </w:pPr>
      <w:r>
        <w:rPr>
          <w:rFonts w:eastAsia="方正仿宋_GBK"/>
          <w:color w:val="000000"/>
          <w:sz w:val="28"/>
        </w:rPr>
        <w:t>（三）工作保障措施</w:t>
      </w:r>
    </w:p>
    <w:p>
      <w:pPr>
        <w:pStyle w:val="23"/>
      </w:pPr>
      <w:r>
        <w:t>工作保障措施</w:t>
      </w:r>
    </w:p>
    <w:p>
      <w:pPr>
        <w:pStyle w:val="23"/>
      </w:pPr>
      <w:r>
        <w:t>（一）加强组织领导。将事前评估、目标管理、运行监控、绩效评价、结果应用等各项改革措施，有效融入预算管理的全过程环节，建立健全纪检监察系统预算绩效管理的路径和制度体系。成立由委主要领导同志任组长的预算绩效工作领导小组，各科室负责人任组员，建立统筹协调、分工协作、密切配合、合力推进的工作机制。围绕年度总体绩效目标和分类绩效目标，细化工作方案，明确责任主体、实施进度要求，确保如期完成。</w:t>
      </w:r>
    </w:p>
    <w:p>
      <w:pPr>
        <w:pStyle w:val="23"/>
      </w:pPr>
      <w:r>
        <w:t>（二）狠抓任务落实。按照“谁花钱、谁负责，谁牵总、谁主责”的原则，明确业务科室预算绩效管理职责。充分调动各项目主管科室的积极性和主动性，由业务科室负责科学制定分管项目和内容的中期、终期绩效目标和评价指标，动态收集评估数据信息，开展预算绩效中期评估、终期评价，落实整改措施等。按照领导小组指示，配合领导小组办公室开展分管项目及内容的预算绩效管理具体工作，实现定项目就要抓绩效、分资金就要管绩效，确保财务与业务工作紧密衔接。</w:t>
      </w:r>
    </w:p>
    <w:p>
      <w:pPr>
        <w:pStyle w:val="23"/>
      </w:pPr>
      <w:r>
        <w:t>（三）强化预算执行。强化财政预算执行的刚性约束，及时启动项目和支付资金，优化部门预算支出结构，创新财政资金支出思路，合理改进支出方式，确保按照时间节点完成支出任务。规范财政资金使用和管理，强化内部控制制度建设，更好地发挥财政资金的使用效益。</w:t>
      </w:r>
    </w:p>
    <w:p>
      <w:pPr>
        <w:pStyle w:val="23"/>
      </w:pPr>
      <w:r>
        <w:t>（四）健全评价机制。结合第三方力量，成立专门的评价工作小组，制定科学评价办法，对政策和项目资金支出的经济性、效率性以及绩效目标的实现程度进行全方位评价，及时发现实施中存在的问题，并研究解决对策。评价过程要最大程度信息公开，运用法律、经济和行政手段规范、管理和保障预算绩效工作的有效推进，做到程序规范、方法合理、结果可信。</w:t>
      </w:r>
    </w:p>
    <w:p>
      <w:pPr>
        <w:pStyle w:val="23"/>
        <w:sectPr>
          <w:pgSz w:w="16840" w:h="11900" w:orient="landscape"/>
          <w:pgMar w:top="1361" w:right="1020" w:bottom="1361" w:left="1020" w:header="720" w:footer="720" w:gutter="0"/>
          <w:cols w:space="720" w:num="1"/>
        </w:sectPr>
      </w:pPr>
      <w:r>
        <w:t>（五）强化宣传引导。组织开展多轮次、多角度的业务培训，使全委干部职工中牢固树立绩效理念，熟悉管理流程，掌握工作方法，提升管理能力。各业务科室要探索工作经验，及时总结预算绩效管理成效，营造良好的舆论氛围，提升预算绩效管理科学水平。</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6"/>
      <w:r>
        <w:rPr>
          <w:rFonts w:hint="eastAsia" w:ascii="黑体" w:hAnsi="黑体" w:eastAsia="黑体" w:cs="黑体"/>
          <w:color w:val="000000"/>
          <w:sz w:val="32"/>
          <w:lang w:eastAsia="zh-CN"/>
        </w:rPr>
        <w:t>六</w:t>
      </w:r>
      <w:r>
        <w:rPr>
          <w:rFonts w:ascii="黑体" w:hAnsi="黑体" w:eastAsia="黑体" w:cs="黑体"/>
          <w:color w:val="000000"/>
          <w:sz w:val="32"/>
        </w:rPr>
        <w:t>、部门项目预算安排情况及绩效目标</w:t>
      </w:r>
      <w:bookmarkEnd w:id="14"/>
    </w:p>
    <w:p>
      <w:pPr>
        <w:ind w:firstLine="560"/>
      </w:pPr>
      <w:r>
        <w:rPr>
          <w:rFonts w:ascii="方正仿宋_GBK" w:hAnsi="方正仿宋_GBK" w:eastAsia="方正仿宋_GBK" w:cs="方正仿宋_GBK"/>
          <w:color w:val="000000"/>
          <w:sz w:val="28"/>
        </w:rPr>
        <w:t>1、（衡财行[2023]49号）提前下达2024年中央政法纪检监察转移支付资金绩效目标表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13118124P00662210005G</w:t>
            </w:r>
          </w:p>
        </w:tc>
        <w:tc>
          <w:tcPr>
            <w:tcW w:w="2835" w:type="dxa"/>
            <w:vAlign w:val="center"/>
          </w:tcPr>
          <w:p>
            <w:pPr>
              <w:pStyle w:val="10"/>
            </w:pPr>
            <w:r>
              <w:t>项目名称</w:t>
            </w:r>
          </w:p>
        </w:tc>
        <w:tc>
          <w:tcPr>
            <w:tcW w:w="6095" w:type="dxa"/>
            <w:gridSpan w:val="3"/>
            <w:vAlign w:val="center"/>
          </w:tcPr>
          <w:p>
            <w:pPr>
              <w:pStyle w:val="12"/>
            </w:pPr>
            <w:r>
              <w:t>（衡财行[2023]49号）提前下达2024年中央政法纪检监察转移支付资金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更新购置笔记本电脑、220V应急移动电源、长续航执法记录仪、录音笔、高倍望远镜、刻录机等设备</w:t>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p>
        </w:tc>
        <w:tc>
          <w:tcPr>
            <w:tcW w:w="2835" w:type="dxa"/>
            <w:vAlign w:val="center"/>
          </w:tcPr>
          <w:p>
            <w:pPr>
              <w:pStyle w:val="13"/>
            </w:pPr>
            <w:r>
              <w:t>20%</w:t>
            </w:r>
          </w:p>
        </w:tc>
        <w:tc>
          <w:tcPr>
            <w:tcW w:w="2551" w:type="dxa"/>
            <w:vAlign w:val="center"/>
          </w:tcPr>
          <w:p>
            <w:pPr>
              <w:pStyle w:val="13"/>
            </w:pPr>
            <w:r>
              <w:t>50%</w:t>
            </w:r>
          </w:p>
        </w:tc>
        <w:tc>
          <w:tcPr>
            <w:tcW w:w="3544"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1.更新购置笔记本电脑、220V应急移动电源、长续航执法记录仪、录音笔、高倍望远镜、刻录机等设备</w:t>
            </w:r>
          </w:p>
          <w:p>
            <w:pPr>
              <w:pStyle w:val="12"/>
            </w:pPr>
            <w:r>
              <w:t>2.通过资金的有效使用，对纪检监察设备配置进行提升，推动冀州区纪检监察工作高质量发展</w:t>
            </w:r>
            <w:r>
              <w:tab/>
            </w:r>
            <w:r>
              <w:tab/>
            </w:r>
            <w:r>
              <w:tab/>
            </w:r>
            <w:r>
              <w:tab/>
            </w:r>
            <w:r>
              <w:tab/>
            </w:r>
            <w:r>
              <w:tab/>
            </w:r>
          </w:p>
          <w:p>
            <w:pPr>
              <w:pStyle w:val="12"/>
            </w:pPr>
          </w:p>
        </w:tc>
      </w:tr>
    </w:tbl>
    <w:p>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购置设备数量</w:t>
            </w:r>
          </w:p>
        </w:tc>
        <w:tc>
          <w:tcPr>
            <w:tcW w:w="5386" w:type="dxa"/>
            <w:vAlign w:val="center"/>
          </w:tcPr>
          <w:p>
            <w:pPr>
              <w:pStyle w:val="12"/>
            </w:pPr>
            <w:r>
              <w:t>购置设备数量</w:t>
            </w:r>
          </w:p>
        </w:tc>
        <w:tc>
          <w:tcPr>
            <w:tcW w:w="2268" w:type="dxa"/>
            <w:vAlign w:val="center"/>
          </w:tcPr>
          <w:p>
            <w:pPr>
              <w:pStyle w:val="12"/>
            </w:pPr>
            <w:r>
              <w:t>≥10台</w:t>
            </w:r>
          </w:p>
        </w:tc>
        <w:tc>
          <w:tcPr>
            <w:tcW w:w="1276" w:type="dxa"/>
            <w:vAlign w:val="center"/>
          </w:tcPr>
          <w:p>
            <w:pPr>
              <w:pStyle w:val="12"/>
            </w:pPr>
            <w:r>
              <w:t>按照单位设备空缺数量而定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购置设备合格率</w:t>
            </w:r>
          </w:p>
        </w:tc>
        <w:tc>
          <w:tcPr>
            <w:tcW w:w="5386" w:type="dxa"/>
            <w:vAlign w:val="center"/>
          </w:tcPr>
          <w:p>
            <w:pPr>
              <w:pStyle w:val="12"/>
            </w:pPr>
            <w:r>
              <w:t>购置设备合格率</w:t>
            </w:r>
          </w:p>
        </w:tc>
        <w:tc>
          <w:tcPr>
            <w:tcW w:w="2268" w:type="dxa"/>
            <w:vAlign w:val="center"/>
          </w:tcPr>
          <w:p>
            <w:pPr>
              <w:pStyle w:val="12"/>
            </w:pPr>
            <w:r>
              <w:t>≥90%</w:t>
            </w:r>
          </w:p>
        </w:tc>
        <w:tc>
          <w:tcPr>
            <w:tcW w:w="1276" w:type="dxa"/>
            <w:vAlign w:val="center"/>
          </w:tcPr>
          <w:p>
            <w:pPr>
              <w:pStyle w:val="12"/>
            </w:pPr>
            <w:r>
              <w:t>按照资产购置文件标准要求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购买设备完成时间</w:t>
            </w:r>
          </w:p>
        </w:tc>
        <w:tc>
          <w:tcPr>
            <w:tcW w:w="5386" w:type="dxa"/>
            <w:vAlign w:val="center"/>
          </w:tcPr>
          <w:p>
            <w:pPr>
              <w:pStyle w:val="12"/>
            </w:pPr>
            <w:r>
              <w:t>购买设备完成时间</w:t>
            </w:r>
          </w:p>
        </w:tc>
        <w:tc>
          <w:tcPr>
            <w:tcW w:w="2268" w:type="dxa"/>
            <w:vAlign w:val="center"/>
          </w:tcPr>
          <w:p>
            <w:pPr>
              <w:pStyle w:val="12"/>
            </w:pPr>
            <w:r>
              <w:t>2024年11月底前</w:t>
            </w:r>
          </w:p>
        </w:tc>
        <w:tc>
          <w:tcPr>
            <w:tcW w:w="1276" w:type="dxa"/>
            <w:vAlign w:val="center"/>
          </w:tcPr>
          <w:p>
            <w:pPr>
              <w:pStyle w:val="12"/>
            </w:pPr>
            <w:r>
              <w:t>按照预算资金使用相关时限要求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笔记本电脑单价</w:t>
            </w:r>
          </w:p>
        </w:tc>
        <w:tc>
          <w:tcPr>
            <w:tcW w:w="5386" w:type="dxa"/>
            <w:vAlign w:val="center"/>
          </w:tcPr>
          <w:p>
            <w:pPr>
              <w:pStyle w:val="12"/>
            </w:pPr>
            <w:r>
              <w:t>笔记本电脑单价</w:t>
            </w:r>
          </w:p>
        </w:tc>
        <w:tc>
          <w:tcPr>
            <w:tcW w:w="2268" w:type="dxa"/>
            <w:vAlign w:val="center"/>
          </w:tcPr>
          <w:p>
            <w:pPr>
              <w:pStyle w:val="12"/>
            </w:pPr>
            <w:r>
              <w:t>≤6000元/台</w:t>
            </w:r>
          </w:p>
        </w:tc>
        <w:tc>
          <w:tcPr>
            <w:tcW w:w="1276" w:type="dxa"/>
            <w:vAlign w:val="center"/>
          </w:tcPr>
          <w:p>
            <w:pPr>
              <w:pStyle w:val="12"/>
            </w:pPr>
            <w:r>
              <w:t>按照资产购置文件标准要求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保障设备正常运行</w:t>
            </w:r>
          </w:p>
        </w:tc>
        <w:tc>
          <w:tcPr>
            <w:tcW w:w="5386" w:type="dxa"/>
            <w:vAlign w:val="center"/>
          </w:tcPr>
          <w:p>
            <w:pPr>
              <w:pStyle w:val="12"/>
            </w:pPr>
            <w:r>
              <w:t>保障设备正常运行</w:t>
            </w:r>
          </w:p>
        </w:tc>
        <w:tc>
          <w:tcPr>
            <w:tcW w:w="2268" w:type="dxa"/>
            <w:vAlign w:val="center"/>
          </w:tcPr>
          <w:p>
            <w:pPr>
              <w:pStyle w:val="12"/>
            </w:pPr>
            <w:r>
              <w:t>设备运行良好</w:t>
            </w:r>
          </w:p>
        </w:tc>
        <w:tc>
          <w:tcPr>
            <w:tcW w:w="1276" w:type="dxa"/>
            <w:vAlign w:val="center"/>
          </w:tcPr>
          <w:p>
            <w:pPr>
              <w:pStyle w:val="12"/>
            </w:pPr>
            <w:r>
              <w:t>按照资产购置文件标准要求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完善纪检监察体系建设</w:t>
            </w:r>
          </w:p>
        </w:tc>
        <w:tc>
          <w:tcPr>
            <w:tcW w:w="5386" w:type="dxa"/>
            <w:vAlign w:val="center"/>
          </w:tcPr>
          <w:p>
            <w:pPr>
              <w:pStyle w:val="12"/>
            </w:pPr>
            <w:r>
              <w:t>完善纪检监察体系建设</w:t>
            </w:r>
          </w:p>
        </w:tc>
        <w:tc>
          <w:tcPr>
            <w:tcW w:w="2268" w:type="dxa"/>
            <w:vAlign w:val="center"/>
          </w:tcPr>
          <w:p>
            <w:pPr>
              <w:pStyle w:val="12"/>
            </w:pPr>
            <w:r>
              <w:t>可持续性</w:t>
            </w:r>
          </w:p>
        </w:tc>
        <w:tc>
          <w:tcPr>
            <w:tcW w:w="1276" w:type="dxa"/>
            <w:vAlign w:val="center"/>
          </w:tcPr>
          <w:p>
            <w:pPr>
              <w:pStyle w:val="12"/>
            </w:pPr>
            <w:r>
              <w:t>按照纪检监察体系建设文件要求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设备使用率</w:t>
            </w:r>
          </w:p>
        </w:tc>
        <w:tc>
          <w:tcPr>
            <w:tcW w:w="5386" w:type="dxa"/>
            <w:vAlign w:val="center"/>
          </w:tcPr>
          <w:p>
            <w:pPr>
              <w:pStyle w:val="12"/>
            </w:pPr>
            <w:r>
              <w:t>设备使用率</w:t>
            </w:r>
          </w:p>
        </w:tc>
        <w:tc>
          <w:tcPr>
            <w:tcW w:w="2268" w:type="dxa"/>
            <w:vAlign w:val="center"/>
          </w:tcPr>
          <w:p>
            <w:pPr>
              <w:pStyle w:val="12"/>
            </w:pPr>
            <w:r>
              <w:t>≥85%</w:t>
            </w:r>
          </w:p>
        </w:tc>
        <w:tc>
          <w:tcPr>
            <w:tcW w:w="1276" w:type="dxa"/>
            <w:vAlign w:val="center"/>
          </w:tcPr>
          <w:p>
            <w:pPr>
              <w:pStyle w:val="12"/>
            </w:pPr>
            <w:r>
              <w:t>按照资产购置文件标准要求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按照资产购置文件标准要求</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2、安可计算机终端替代工程绩效目标表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13118124P00AJH910003L</w:t>
            </w:r>
          </w:p>
        </w:tc>
        <w:tc>
          <w:tcPr>
            <w:tcW w:w="2835" w:type="dxa"/>
            <w:vAlign w:val="center"/>
          </w:tcPr>
          <w:p>
            <w:pPr>
              <w:pStyle w:val="10"/>
            </w:pPr>
            <w:r>
              <w:t>项目名称</w:t>
            </w:r>
          </w:p>
        </w:tc>
        <w:tc>
          <w:tcPr>
            <w:tcW w:w="6095" w:type="dxa"/>
            <w:gridSpan w:val="3"/>
            <w:vAlign w:val="center"/>
          </w:tcPr>
          <w:p>
            <w:pPr>
              <w:pStyle w:val="12"/>
            </w:pPr>
            <w:r>
              <w:t>安可计算机终端替代工程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48.00</w:t>
            </w:r>
          </w:p>
        </w:tc>
        <w:tc>
          <w:tcPr>
            <w:tcW w:w="2835" w:type="dxa"/>
            <w:vAlign w:val="center"/>
          </w:tcPr>
          <w:p>
            <w:pPr>
              <w:pStyle w:val="10"/>
            </w:pPr>
            <w:r>
              <w:t>其中：财政    资金</w:t>
            </w:r>
          </w:p>
        </w:tc>
        <w:tc>
          <w:tcPr>
            <w:tcW w:w="2551" w:type="dxa"/>
            <w:vAlign w:val="center"/>
          </w:tcPr>
          <w:p>
            <w:pPr>
              <w:pStyle w:val="12"/>
            </w:pPr>
            <w:r>
              <w:t>48.00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用于购买国产化计算机冀配套打印机、扫描仪等设备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p>
        </w:tc>
        <w:tc>
          <w:tcPr>
            <w:tcW w:w="2835" w:type="dxa"/>
            <w:vAlign w:val="center"/>
          </w:tcPr>
          <w:p>
            <w:pPr>
              <w:pStyle w:val="13"/>
            </w:pPr>
            <w:r>
              <w:t>20%</w:t>
            </w:r>
          </w:p>
        </w:tc>
        <w:tc>
          <w:tcPr>
            <w:tcW w:w="2551" w:type="dxa"/>
            <w:vAlign w:val="center"/>
          </w:tcPr>
          <w:p>
            <w:pPr>
              <w:pStyle w:val="13"/>
            </w:pPr>
            <w:r>
              <w:t>50%</w:t>
            </w:r>
          </w:p>
        </w:tc>
        <w:tc>
          <w:tcPr>
            <w:tcW w:w="3544"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rPr>
                <w:rFonts w:hint="eastAsia" w:eastAsia="方正书宋_GBK"/>
                <w:lang w:eastAsia="zh-CN"/>
              </w:rPr>
            </w:pPr>
            <w:r>
              <w:t>1.年底前单位纪检监察外网实现</w:t>
            </w:r>
            <w:r>
              <w:rPr>
                <w:rFonts w:hint="eastAsia"/>
                <w:lang w:eastAsia="zh-CN"/>
              </w:rPr>
              <w:t>安全</w:t>
            </w:r>
          </w:p>
          <w:p>
            <w:pPr>
              <w:pStyle w:val="12"/>
            </w:pPr>
            <w:r>
              <w:t>2.保证纪委安全可靠替代工程顺利开展</w:t>
            </w:r>
          </w:p>
        </w:tc>
      </w:tr>
    </w:tbl>
    <w:p>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更换设备数量</w:t>
            </w:r>
          </w:p>
        </w:tc>
        <w:tc>
          <w:tcPr>
            <w:tcW w:w="5386" w:type="dxa"/>
            <w:vAlign w:val="center"/>
          </w:tcPr>
          <w:p>
            <w:pPr>
              <w:pStyle w:val="12"/>
            </w:pPr>
            <w:r>
              <w:t>更换设备的数量</w:t>
            </w:r>
          </w:p>
        </w:tc>
        <w:tc>
          <w:tcPr>
            <w:tcW w:w="2268" w:type="dxa"/>
            <w:vAlign w:val="center"/>
          </w:tcPr>
          <w:p>
            <w:pPr>
              <w:pStyle w:val="12"/>
            </w:pPr>
            <w:r>
              <w:t>20套</w:t>
            </w:r>
          </w:p>
        </w:tc>
        <w:tc>
          <w:tcPr>
            <w:tcW w:w="1276" w:type="dxa"/>
            <w:vAlign w:val="center"/>
          </w:tcPr>
          <w:p>
            <w:pPr>
              <w:pStyle w:val="12"/>
            </w:pPr>
            <w:r>
              <w:t>更换设备的数量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购置设备合格率</w:t>
            </w:r>
          </w:p>
        </w:tc>
        <w:tc>
          <w:tcPr>
            <w:tcW w:w="5386" w:type="dxa"/>
            <w:vAlign w:val="center"/>
          </w:tcPr>
          <w:p>
            <w:pPr>
              <w:pStyle w:val="12"/>
            </w:pPr>
            <w:r>
              <w:t>购置设备合格率</w:t>
            </w:r>
          </w:p>
        </w:tc>
        <w:tc>
          <w:tcPr>
            <w:tcW w:w="2268" w:type="dxa"/>
            <w:vAlign w:val="center"/>
          </w:tcPr>
          <w:p>
            <w:pPr>
              <w:pStyle w:val="12"/>
            </w:pPr>
            <w:r>
              <w:t>≥90%</w:t>
            </w:r>
          </w:p>
        </w:tc>
        <w:tc>
          <w:tcPr>
            <w:tcW w:w="1276" w:type="dxa"/>
            <w:vAlign w:val="center"/>
          </w:tcPr>
          <w:p>
            <w:pPr>
              <w:pStyle w:val="12"/>
            </w:pPr>
            <w:r>
              <w:t>购置设备合格率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购买设备完成时间</w:t>
            </w:r>
          </w:p>
        </w:tc>
        <w:tc>
          <w:tcPr>
            <w:tcW w:w="5386" w:type="dxa"/>
            <w:vAlign w:val="center"/>
          </w:tcPr>
          <w:p>
            <w:pPr>
              <w:pStyle w:val="12"/>
            </w:pPr>
            <w:r>
              <w:t>购买设备完成时间</w:t>
            </w:r>
          </w:p>
        </w:tc>
        <w:tc>
          <w:tcPr>
            <w:tcW w:w="2268" w:type="dxa"/>
            <w:vAlign w:val="center"/>
          </w:tcPr>
          <w:p>
            <w:pPr>
              <w:pStyle w:val="12"/>
            </w:pPr>
            <w:r>
              <w:t>2022年12月底前</w:t>
            </w:r>
          </w:p>
        </w:tc>
        <w:tc>
          <w:tcPr>
            <w:tcW w:w="1276" w:type="dxa"/>
            <w:vAlign w:val="center"/>
          </w:tcPr>
          <w:p>
            <w:pPr>
              <w:pStyle w:val="12"/>
            </w:pPr>
            <w:r>
              <w:t>购买设备完成时间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设备采购价格</w:t>
            </w:r>
          </w:p>
        </w:tc>
        <w:tc>
          <w:tcPr>
            <w:tcW w:w="5386" w:type="dxa"/>
            <w:vAlign w:val="center"/>
          </w:tcPr>
          <w:p>
            <w:pPr>
              <w:pStyle w:val="12"/>
            </w:pPr>
            <w:r>
              <w:t>设备采购价格</w:t>
            </w:r>
          </w:p>
        </w:tc>
        <w:tc>
          <w:tcPr>
            <w:tcW w:w="2268" w:type="dxa"/>
            <w:vAlign w:val="center"/>
          </w:tcPr>
          <w:p>
            <w:pPr>
              <w:pStyle w:val="12"/>
            </w:pPr>
            <w:r>
              <w:t>≤1.1万元/套</w:t>
            </w:r>
          </w:p>
        </w:tc>
        <w:tc>
          <w:tcPr>
            <w:tcW w:w="1276" w:type="dxa"/>
            <w:vAlign w:val="center"/>
          </w:tcPr>
          <w:p>
            <w:pPr>
              <w:pStyle w:val="12"/>
            </w:pPr>
            <w:r>
              <w:t>设备采购价格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保障设备正常运行</w:t>
            </w:r>
          </w:p>
        </w:tc>
        <w:tc>
          <w:tcPr>
            <w:tcW w:w="5386" w:type="dxa"/>
            <w:vAlign w:val="center"/>
          </w:tcPr>
          <w:p>
            <w:pPr>
              <w:pStyle w:val="12"/>
            </w:pPr>
            <w:r>
              <w:t>保障设备正常运行</w:t>
            </w:r>
          </w:p>
        </w:tc>
        <w:tc>
          <w:tcPr>
            <w:tcW w:w="2268" w:type="dxa"/>
            <w:vAlign w:val="center"/>
          </w:tcPr>
          <w:p>
            <w:pPr>
              <w:pStyle w:val="12"/>
            </w:pPr>
            <w:r>
              <w:t>运行良好</w:t>
            </w:r>
          </w:p>
        </w:tc>
        <w:tc>
          <w:tcPr>
            <w:tcW w:w="1276" w:type="dxa"/>
            <w:vAlign w:val="center"/>
          </w:tcPr>
          <w:p>
            <w:pPr>
              <w:pStyle w:val="12"/>
            </w:pPr>
            <w:r>
              <w:t>保障设备正常运行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设备使用率</w:t>
            </w:r>
          </w:p>
        </w:tc>
        <w:tc>
          <w:tcPr>
            <w:tcW w:w="5386" w:type="dxa"/>
            <w:vAlign w:val="center"/>
          </w:tcPr>
          <w:p>
            <w:pPr>
              <w:pStyle w:val="12"/>
            </w:pPr>
            <w:r>
              <w:t>设备使用率</w:t>
            </w:r>
          </w:p>
        </w:tc>
        <w:tc>
          <w:tcPr>
            <w:tcW w:w="2268" w:type="dxa"/>
            <w:vAlign w:val="center"/>
          </w:tcPr>
          <w:p>
            <w:pPr>
              <w:pStyle w:val="12"/>
            </w:pPr>
            <w:r>
              <w:t>≥90%</w:t>
            </w:r>
          </w:p>
        </w:tc>
        <w:tc>
          <w:tcPr>
            <w:tcW w:w="1276" w:type="dxa"/>
            <w:vAlign w:val="center"/>
          </w:tcPr>
          <w:p>
            <w:pPr>
              <w:pStyle w:val="12"/>
            </w:pPr>
            <w:r>
              <w:t>设备使用率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服务对象满意度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3、办案一体化工作平台建设绩效目标表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13118124P00025710001M</w:t>
            </w:r>
          </w:p>
        </w:tc>
        <w:tc>
          <w:tcPr>
            <w:tcW w:w="2835" w:type="dxa"/>
            <w:vAlign w:val="center"/>
          </w:tcPr>
          <w:p>
            <w:pPr>
              <w:pStyle w:val="10"/>
            </w:pPr>
            <w:r>
              <w:t>项目名称</w:t>
            </w:r>
          </w:p>
        </w:tc>
        <w:tc>
          <w:tcPr>
            <w:tcW w:w="6095" w:type="dxa"/>
            <w:gridSpan w:val="3"/>
            <w:vAlign w:val="center"/>
          </w:tcPr>
          <w:p>
            <w:pPr>
              <w:pStyle w:val="12"/>
            </w:pPr>
            <w:r>
              <w:t>办案一体化工作平台建设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w:t>
            </w:r>
          </w:p>
        </w:tc>
        <w:tc>
          <w:tcPr>
            <w:tcW w:w="2835" w:type="dxa"/>
            <w:vAlign w:val="center"/>
          </w:tcPr>
          <w:p>
            <w:pPr>
              <w:pStyle w:val="10"/>
            </w:pPr>
            <w:r>
              <w:t>其中：财政    资金</w:t>
            </w:r>
          </w:p>
        </w:tc>
        <w:tc>
          <w:tcPr>
            <w:tcW w:w="2551" w:type="dxa"/>
            <w:vAlign w:val="center"/>
          </w:tcPr>
          <w:p>
            <w:pPr>
              <w:pStyle w:val="12"/>
            </w:pPr>
            <w:r>
              <w:t>50.00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用于购置保密安可计算机、黑红打印机、专用扫描仪等设备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p>
        </w:tc>
        <w:tc>
          <w:tcPr>
            <w:tcW w:w="2835" w:type="dxa"/>
            <w:vAlign w:val="center"/>
          </w:tcPr>
          <w:p>
            <w:pPr>
              <w:pStyle w:val="13"/>
            </w:pPr>
            <w:r>
              <w:t>20%</w:t>
            </w:r>
          </w:p>
        </w:tc>
        <w:tc>
          <w:tcPr>
            <w:tcW w:w="2551" w:type="dxa"/>
            <w:vAlign w:val="center"/>
          </w:tcPr>
          <w:p>
            <w:pPr>
              <w:pStyle w:val="13"/>
            </w:pPr>
            <w:r>
              <w:t>50%</w:t>
            </w:r>
          </w:p>
        </w:tc>
        <w:tc>
          <w:tcPr>
            <w:tcW w:w="3544"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1.配合上级纪委完成办案一体化平台建设工作</w:t>
            </w:r>
          </w:p>
          <w:p>
            <w:pPr>
              <w:pStyle w:val="12"/>
            </w:pPr>
            <w:r>
              <w:t>2.推动我委信息化建设工作，提高办案效率</w:t>
            </w:r>
          </w:p>
        </w:tc>
      </w:tr>
    </w:tbl>
    <w:p>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购置设备数量</w:t>
            </w:r>
          </w:p>
        </w:tc>
        <w:tc>
          <w:tcPr>
            <w:tcW w:w="5386" w:type="dxa"/>
            <w:vAlign w:val="center"/>
          </w:tcPr>
          <w:p>
            <w:pPr>
              <w:pStyle w:val="12"/>
            </w:pPr>
            <w:r>
              <w:t>购置设备数量</w:t>
            </w:r>
          </w:p>
        </w:tc>
        <w:tc>
          <w:tcPr>
            <w:tcW w:w="2268" w:type="dxa"/>
            <w:vAlign w:val="center"/>
          </w:tcPr>
          <w:p>
            <w:pPr>
              <w:pStyle w:val="12"/>
            </w:pPr>
            <w:r>
              <w:t>≥10台</w:t>
            </w:r>
          </w:p>
        </w:tc>
        <w:tc>
          <w:tcPr>
            <w:tcW w:w="1276" w:type="dxa"/>
            <w:vAlign w:val="center"/>
          </w:tcPr>
          <w:p>
            <w:pPr>
              <w:pStyle w:val="12"/>
            </w:pPr>
            <w:r>
              <w:t>购置设备的数量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购置设备合格率</w:t>
            </w:r>
          </w:p>
        </w:tc>
        <w:tc>
          <w:tcPr>
            <w:tcW w:w="5386" w:type="dxa"/>
            <w:vAlign w:val="center"/>
          </w:tcPr>
          <w:p>
            <w:pPr>
              <w:pStyle w:val="12"/>
            </w:pPr>
            <w:r>
              <w:t>购置设备合格率</w:t>
            </w:r>
          </w:p>
        </w:tc>
        <w:tc>
          <w:tcPr>
            <w:tcW w:w="2268" w:type="dxa"/>
            <w:vAlign w:val="center"/>
          </w:tcPr>
          <w:p>
            <w:pPr>
              <w:pStyle w:val="12"/>
            </w:pPr>
            <w:r>
              <w:t>≥90%</w:t>
            </w:r>
          </w:p>
        </w:tc>
        <w:tc>
          <w:tcPr>
            <w:tcW w:w="1276" w:type="dxa"/>
            <w:vAlign w:val="center"/>
          </w:tcPr>
          <w:p>
            <w:pPr>
              <w:pStyle w:val="12"/>
            </w:pPr>
            <w:r>
              <w:t>购置设备合格率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设备维修及时率</w:t>
            </w:r>
          </w:p>
        </w:tc>
        <w:tc>
          <w:tcPr>
            <w:tcW w:w="5386" w:type="dxa"/>
            <w:vAlign w:val="center"/>
          </w:tcPr>
          <w:p>
            <w:pPr>
              <w:pStyle w:val="12"/>
            </w:pPr>
            <w:r>
              <w:t>设备维修及时率</w:t>
            </w:r>
          </w:p>
        </w:tc>
        <w:tc>
          <w:tcPr>
            <w:tcW w:w="2268" w:type="dxa"/>
            <w:vAlign w:val="center"/>
          </w:tcPr>
          <w:p>
            <w:pPr>
              <w:pStyle w:val="12"/>
            </w:pPr>
            <w:r>
              <w:t>≥90%</w:t>
            </w:r>
          </w:p>
        </w:tc>
        <w:tc>
          <w:tcPr>
            <w:tcW w:w="1276" w:type="dxa"/>
            <w:vAlign w:val="center"/>
          </w:tcPr>
          <w:p>
            <w:pPr>
              <w:pStyle w:val="12"/>
            </w:pPr>
            <w:r>
              <w:t>设备维修及时率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购置设备成本</w:t>
            </w:r>
          </w:p>
        </w:tc>
        <w:tc>
          <w:tcPr>
            <w:tcW w:w="5386" w:type="dxa"/>
            <w:vAlign w:val="center"/>
          </w:tcPr>
          <w:p>
            <w:pPr>
              <w:pStyle w:val="12"/>
            </w:pPr>
            <w:r>
              <w:t>购置设备成本</w:t>
            </w:r>
          </w:p>
        </w:tc>
        <w:tc>
          <w:tcPr>
            <w:tcW w:w="2268" w:type="dxa"/>
            <w:vAlign w:val="center"/>
          </w:tcPr>
          <w:p>
            <w:pPr>
              <w:pStyle w:val="12"/>
            </w:pPr>
            <w:r>
              <w:t>符合固定资产管理办法</w:t>
            </w:r>
          </w:p>
        </w:tc>
        <w:tc>
          <w:tcPr>
            <w:tcW w:w="1276" w:type="dxa"/>
            <w:vAlign w:val="center"/>
          </w:tcPr>
          <w:p>
            <w:pPr>
              <w:pStyle w:val="12"/>
            </w:pPr>
            <w:r>
              <w:t>设备采购价格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保障设备正常运行</w:t>
            </w:r>
          </w:p>
        </w:tc>
        <w:tc>
          <w:tcPr>
            <w:tcW w:w="5386" w:type="dxa"/>
            <w:vAlign w:val="center"/>
          </w:tcPr>
          <w:p>
            <w:pPr>
              <w:pStyle w:val="12"/>
            </w:pPr>
            <w:r>
              <w:t>保障设备正常运行</w:t>
            </w:r>
          </w:p>
        </w:tc>
        <w:tc>
          <w:tcPr>
            <w:tcW w:w="2268" w:type="dxa"/>
            <w:vAlign w:val="center"/>
          </w:tcPr>
          <w:p>
            <w:pPr>
              <w:pStyle w:val="12"/>
            </w:pPr>
            <w:r>
              <w:t>保障设备正常运行</w:t>
            </w:r>
          </w:p>
        </w:tc>
        <w:tc>
          <w:tcPr>
            <w:tcW w:w="1276" w:type="dxa"/>
            <w:vAlign w:val="center"/>
          </w:tcPr>
          <w:p>
            <w:pPr>
              <w:pStyle w:val="12"/>
            </w:pPr>
            <w:r>
              <w:t>保障设备正常运行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设备使用率</w:t>
            </w:r>
          </w:p>
        </w:tc>
        <w:tc>
          <w:tcPr>
            <w:tcW w:w="5386" w:type="dxa"/>
            <w:vAlign w:val="center"/>
          </w:tcPr>
          <w:p>
            <w:pPr>
              <w:pStyle w:val="12"/>
            </w:pPr>
            <w:r>
              <w:t>设备使用率</w:t>
            </w:r>
          </w:p>
        </w:tc>
        <w:tc>
          <w:tcPr>
            <w:tcW w:w="2268" w:type="dxa"/>
            <w:vAlign w:val="center"/>
          </w:tcPr>
          <w:p>
            <w:pPr>
              <w:pStyle w:val="12"/>
            </w:pPr>
            <w:r>
              <w:t>≥85%</w:t>
            </w:r>
          </w:p>
        </w:tc>
        <w:tc>
          <w:tcPr>
            <w:tcW w:w="1276" w:type="dxa"/>
            <w:vAlign w:val="center"/>
          </w:tcPr>
          <w:p>
            <w:pPr>
              <w:pStyle w:val="12"/>
            </w:pPr>
            <w:r>
              <w:t>设备使用率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服务对象满意度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4、保障公用经费（运转保障）绩效目标表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13118124P00H2M8100059</w:t>
            </w:r>
          </w:p>
        </w:tc>
        <w:tc>
          <w:tcPr>
            <w:tcW w:w="2835" w:type="dxa"/>
            <w:vAlign w:val="center"/>
          </w:tcPr>
          <w:p>
            <w:pPr>
              <w:pStyle w:val="10"/>
            </w:pPr>
            <w:r>
              <w:t>项目名称</w:t>
            </w:r>
          </w:p>
        </w:tc>
        <w:tc>
          <w:tcPr>
            <w:tcW w:w="6095" w:type="dxa"/>
            <w:gridSpan w:val="3"/>
            <w:vAlign w:val="center"/>
          </w:tcPr>
          <w:p>
            <w:pPr>
              <w:pStyle w:val="12"/>
            </w:pPr>
            <w:r>
              <w:t>保障公用经费（运转保障）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150.00</w:t>
            </w:r>
          </w:p>
        </w:tc>
        <w:tc>
          <w:tcPr>
            <w:tcW w:w="2835" w:type="dxa"/>
            <w:vAlign w:val="center"/>
          </w:tcPr>
          <w:p>
            <w:pPr>
              <w:pStyle w:val="10"/>
            </w:pPr>
            <w:r>
              <w:t>其中：财政    资金</w:t>
            </w:r>
          </w:p>
        </w:tc>
        <w:tc>
          <w:tcPr>
            <w:tcW w:w="2551" w:type="dxa"/>
            <w:vAlign w:val="center"/>
          </w:tcPr>
          <w:p>
            <w:pPr>
              <w:pStyle w:val="12"/>
            </w:pPr>
            <w:r>
              <w:t>150.00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用于保障单位正常工作运转及车辆运行、人员出差、办公场所维修等方面的支出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1.保障办案人员执法办案期间正常行使工作职能。</w:t>
            </w:r>
          </w:p>
          <w:p>
            <w:pPr>
              <w:pStyle w:val="12"/>
            </w:pPr>
            <w:r>
              <w:t>2.保障单位正常工作运转。</w:t>
            </w:r>
          </w:p>
        </w:tc>
      </w:tr>
    </w:tbl>
    <w:p>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监督检查次数</w:t>
            </w:r>
          </w:p>
        </w:tc>
        <w:tc>
          <w:tcPr>
            <w:tcW w:w="5386" w:type="dxa"/>
            <w:vAlign w:val="center"/>
          </w:tcPr>
          <w:p>
            <w:pPr>
              <w:pStyle w:val="12"/>
            </w:pPr>
            <w:r>
              <w:t>监督检查次数</w:t>
            </w:r>
          </w:p>
        </w:tc>
        <w:tc>
          <w:tcPr>
            <w:tcW w:w="2268" w:type="dxa"/>
            <w:vAlign w:val="center"/>
          </w:tcPr>
          <w:p>
            <w:pPr>
              <w:pStyle w:val="12"/>
            </w:pPr>
            <w:r>
              <w:t>≥10次</w:t>
            </w:r>
          </w:p>
        </w:tc>
        <w:tc>
          <w:tcPr>
            <w:tcW w:w="1276" w:type="dxa"/>
            <w:vAlign w:val="center"/>
          </w:tcPr>
          <w:p>
            <w:pPr>
              <w:pStyle w:val="12"/>
            </w:pPr>
            <w:r>
              <w:t>监督检查次数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检查覆盖率</w:t>
            </w:r>
          </w:p>
        </w:tc>
        <w:tc>
          <w:tcPr>
            <w:tcW w:w="5386" w:type="dxa"/>
            <w:vAlign w:val="center"/>
          </w:tcPr>
          <w:p>
            <w:pPr>
              <w:pStyle w:val="12"/>
            </w:pPr>
            <w:r>
              <w:t>检查单位占全部单位的比例</w:t>
            </w:r>
          </w:p>
        </w:tc>
        <w:tc>
          <w:tcPr>
            <w:tcW w:w="2268" w:type="dxa"/>
            <w:vAlign w:val="center"/>
          </w:tcPr>
          <w:p>
            <w:pPr>
              <w:pStyle w:val="12"/>
            </w:pPr>
            <w:r>
              <w:t>≥75%</w:t>
            </w:r>
          </w:p>
        </w:tc>
        <w:tc>
          <w:tcPr>
            <w:tcW w:w="1276" w:type="dxa"/>
            <w:vAlign w:val="center"/>
          </w:tcPr>
          <w:p>
            <w:pPr>
              <w:pStyle w:val="12"/>
            </w:pPr>
            <w:r>
              <w:t>检查单位占全部单位的比例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监督检查完成及时率</w:t>
            </w:r>
          </w:p>
        </w:tc>
        <w:tc>
          <w:tcPr>
            <w:tcW w:w="5386" w:type="dxa"/>
            <w:vAlign w:val="center"/>
          </w:tcPr>
          <w:p>
            <w:pPr>
              <w:pStyle w:val="12"/>
            </w:pPr>
            <w:r>
              <w:t>及时完成监督检查次数占全部监督检查次数的比例</w:t>
            </w:r>
          </w:p>
        </w:tc>
        <w:tc>
          <w:tcPr>
            <w:tcW w:w="2268" w:type="dxa"/>
            <w:vAlign w:val="center"/>
          </w:tcPr>
          <w:p>
            <w:pPr>
              <w:pStyle w:val="12"/>
            </w:pPr>
            <w:r>
              <w:t>≥80%</w:t>
            </w:r>
          </w:p>
        </w:tc>
        <w:tc>
          <w:tcPr>
            <w:tcW w:w="1276" w:type="dxa"/>
            <w:vAlign w:val="center"/>
          </w:tcPr>
          <w:p>
            <w:pPr>
              <w:pStyle w:val="12"/>
            </w:pPr>
            <w:r>
              <w:t>及时完成监督检查次数占全部监督检查次数的比例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督导检查差旅费补助标准</w:t>
            </w:r>
          </w:p>
        </w:tc>
        <w:tc>
          <w:tcPr>
            <w:tcW w:w="5386" w:type="dxa"/>
            <w:vAlign w:val="center"/>
          </w:tcPr>
          <w:p>
            <w:pPr>
              <w:pStyle w:val="12"/>
            </w:pPr>
            <w:r>
              <w:t>督导检查等工作发生的市内交通补助80元/人天，伙食补助标准100元/人天</w:t>
            </w:r>
          </w:p>
        </w:tc>
        <w:tc>
          <w:tcPr>
            <w:tcW w:w="2268" w:type="dxa"/>
            <w:vAlign w:val="center"/>
          </w:tcPr>
          <w:p>
            <w:pPr>
              <w:pStyle w:val="12"/>
            </w:pPr>
            <w:r>
              <w:t>≤180元/天/人</w:t>
            </w:r>
          </w:p>
        </w:tc>
        <w:tc>
          <w:tcPr>
            <w:tcW w:w="1276" w:type="dxa"/>
            <w:vAlign w:val="center"/>
          </w:tcPr>
          <w:p>
            <w:pPr>
              <w:pStyle w:val="12"/>
            </w:pPr>
            <w:r>
              <w:t>督导检查等工作发生的市内交通补助80元/人天，伙食补助标准100元/人天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检查发现问题整改率</w:t>
            </w:r>
          </w:p>
        </w:tc>
        <w:tc>
          <w:tcPr>
            <w:tcW w:w="5386" w:type="dxa"/>
            <w:vAlign w:val="center"/>
          </w:tcPr>
          <w:p>
            <w:pPr>
              <w:pStyle w:val="12"/>
            </w:pPr>
            <w:r>
              <w:t>整改的问题占全部问题比例</w:t>
            </w:r>
          </w:p>
        </w:tc>
        <w:tc>
          <w:tcPr>
            <w:tcW w:w="2268" w:type="dxa"/>
            <w:vAlign w:val="center"/>
          </w:tcPr>
          <w:p>
            <w:pPr>
              <w:pStyle w:val="12"/>
            </w:pPr>
            <w:r>
              <w:t>≥80%</w:t>
            </w:r>
          </w:p>
        </w:tc>
        <w:tc>
          <w:tcPr>
            <w:tcW w:w="1276" w:type="dxa"/>
            <w:vAlign w:val="center"/>
          </w:tcPr>
          <w:p>
            <w:pPr>
              <w:pStyle w:val="12"/>
            </w:pPr>
            <w:r>
              <w:t>整改的问题占全部问题比例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维护社会稳定</w:t>
            </w:r>
          </w:p>
        </w:tc>
        <w:tc>
          <w:tcPr>
            <w:tcW w:w="5386" w:type="dxa"/>
            <w:vAlign w:val="center"/>
          </w:tcPr>
          <w:p>
            <w:pPr>
              <w:pStyle w:val="12"/>
            </w:pPr>
            <w:r>
              <w:t>维护社会稳定</w:t>
            </w:r>
          </w:p>
        </w:tc>
        <w:tc>
          <w:tcPr>
            <w:tcW w:w="2268" w:type="dxa"/>
            <w:vAlign w:val="center"/>
          </w:tcPr>
          <w:p>
            <w:pPr>
              <w:pStyle w:val="12"/>
            </w:pPr>
            <w:r>
              <w:t>通过监督执纪推动社会稳定</w:t>
            </w:r>
          </w:p>
        </w:tc>
        <w:tc>
          <w:tcPr>
            <w:tcW w:w="1276" w:type="dxa"/>
            <w:vAlign w:val="center"/>
          </w:tcPr>
          <w:p>
            <w:pPr>
              <w:pStyle w:val="12"/>
            </w:pPr>
            <w:r>
              <w:t>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信访群众满意度</w:t>
            </w:r>
          </w:p>
        </w:tc>
        <w:tc>
          <w:tcPr>
            <w:tcW w:w="5386" w:type="dxa"/>
            <w:vAlign w:val="center"/>
          </w:tcPr>
          <w:p>
            <w:pPr>
              <w:pStyle w:val="12"/>
            </w:pPr>
            <w:r>
              <w:t>信访群众满意度</w:t>
            </w:r>
          </w:p>
        </w:tc>
        <w:tc>
          <w:tcPr>
            <w:tcW w:w="2268" w:type="dxa"/>
            <w:vAlign w:val="center"/>
          </w:tcPr>
          <w:p>
            <w:pPr>
              <w:pStyle w:val="12"/>
            </w:pPr>
            <w:r>
              <w:t>≥85%</w:t>
            </w:r>
          </w:p>
        </w:tc>
        <w:tc>
          <w:tcPr>
            <w:tcW w:w="1276" w:type="dxa"/>
            <w:vAlign w:val="center"/>
          </w:tcPr>
          <w:p>
            <w:pPr>
              <w:pStyle w:val="12"/>
            </w:pPr>
            <w:r>
              <w:t>信访群众满意度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5、党员教育活动经费绩效目标表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13118124P00C794100042</w:t>
            </w:r>
          </w:p>
        </w:tc>
        <w:tc>
          <w:tcPr>
            <w:tcW w:w="2835" w:type="dxa"/>
            <w:vAlign w:val="center"/>
          </w:tcPr>
          <w:p>
            <w:pPr>
              <w:pStyle w:val="10"/>
            </w:pPr>
            <w:r>
              <w:t>项目名称</w:t>
            </w:r>
          </w:p>
        </w:tc>
        <w:tc>
          <w:tcPr>
            <w:tcW w:w="6095" w:type="dxa"/>
            <w:gridSpan w:val="3"/>
            <w:vAlign w:val="center"/>
          </w:tcPr>
          <w:p>
            <w:pPr>
              <w:pStyle w:val="12"/>
            </w:pPr>
            <w:r>
              <w:t>党员教育活动经费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0.50</w:t>
            </w:r>
          </w:p>
        </w:tc>
        <w:tc>
          <w:tcPr>
            <w:tcW w:w="2835" w:type="dxa"/>
            <w:vAlign w:val="center"/>
          </w:tcPr>
          <w:p>
            <w:pPr>
              <w:pStyle w:val="10"/>
            </w:pPr>
            <w:r>
              <w:t>其中：财政    资金</w:t>
            </w:r>
          </w:p>
        </w:tc>
        <w:tc>
          <w:tcPr>
            <w:tcW w:w="2551" w:type="dxa"/>
            <w:vAlign w:val="center"/>
          </w:tcPr>
          <w:p>
            <w:pPr>
              <w:pStyle w:val="12"/>
            </w:pPr>
            <w:r>
              <w:t>0.50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用于组织机关党员的学习培训活动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1.提高党员干部学习热情与培训满意度</w:t>
            </w:r>
          </w:p>
          <w:p>
            <w:pPr>
              <w:pStyle w:val="12"/>
            </w:pPr>
            <w:r>
              <w:t>2.提升党员干部政治理论素质及业务能力</w:t>
            </w:r>
          </w:p>
        </w:tc>
      </w:tr>
    </w:tbl>
    <w:p>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培训人数</w:t>
            </w:r>
          </w:p>
        </w:tc>
        <w:tc>
          <w:tcPr>
            <w:tcW w:w="5386" w:type="dxa"/>
            <w:vAlign w:val="center"/>
          </w:tcPr>
          <w:p>
            <w:pPr>
              <w:pStyle w:val="12"/>
            </w:pPr>
            <w:r>
              <w:t>培训人数</w:t>
            </w:r>
          </w:p>
        </w:tc>
        <w:tc>
          <w:tcPr>
            <w:tcW w:w="2268" w:type="dxa"/>
            <w:vAlign w:val="center"/>
          </w:tcPr>
          <w:p>
            <w:pPr>
              <w:pStyle w:val="12"/>
            </w:pPr>
            <w:r>
              <w:t>≥90人</w:t>
            </w:r>
          </w:p>
        </w:tc>
        <w:tc>
          <w:tcPr>
            <w:tcW w:w="1276" w:type="dxa"/>
            <w:vAlign w:val="center"/>
          </w:tcPr>
          <w:p>
            <w:pPr>
              <w:pStyle w:val="12"/>
            </w:pPr>
            <w:r>
              <w:t>培训人数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培训合格率</w:t>
            </w:r>
          </w:p>
        </w:tc>
        <w:tc>
          <w:tcPr>
            <w:tcW w:w="5386" w:type="dxa"/>
            <w:vAlign w:val="center"/>
          </w:tcPr>
          <w:p>
            <w:pPr>
              <w:pStyle w:val="12"/>
            </w:pPr>
            <w:r>
              <w:t>培训合格率</w:t>
            </w:r>
          </w:p>
        </w:tc>
        <w:tc>
          <w:tcPr>
            <w:tcW w:w="2268" w:type="dxa"/>
            <w:vAlign w:val="center"/>
          </w:tcPr>
          <w:p>
            <w:pPr>
              <w:pStyle w:val="12"/>
            </w:pPr>
            <w:r>
              <w:t>≥90%</w:t>
            </w:r>
          </w:p>
        </w:tc>
        <w:tc>
          <w:tcPr>
            <w:tcW w:w="1276" w:type="dxa"/>
            <w:vAlign w:val="center"/>
          </w:tcPr>
          <w:p>
            <w:pPr>
              <w:pStyle w:val="12"/>
            </w:pPr>
            <w:r>
              <w:t>培训合格率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培训按期完成率</w:t>
            </w:r>
          </w:p>
        </w:tc>
        <w:tc>
          <w:tcPr>
            <w:tcW w:w="5386" w:type="dxa"/>
            <w:vAlign w:val="center"/>
          </w:tcPr>
          <w:p>
            <w:pPr>
              <w:pStyle w:val="12"/>
            </w:pPr>
            <w:r>
              <w:t>培训按期完成率</w:t>
            </w:r>
          </w:p>
        </w:tc>
        <w:tc>
          <w:tcPr>
            <w:tcW w:w="2268" w:type="dxa"/>
            <w:vAlign w:val="center"/>
          </w:tcPr>
          <w:p>
            <w:pPr>
              <w:pStyle w:val="12"/>
            </w:pPr>
            <w:r>
              <w:t>≥90%</w:t>
            </w:r>
          </w:p>
        </w:tc>
        <w:tc>
          <w:tcPr>
            <w:tcW w:w="1276" w:type="dxa"/>
            <w:vAlign w:val="center"/>
          </w:tcPr>
          <w:p>
            <w:pPr>
              <w:pStyle w:val="12"/>
            </w:pPr>
            <w:r>
              <w:t>培训按期完成率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参加培训人均成本</w:t>
            </w:r>
          </w:p>
        </w:tc>
        <w:tc>
          <w:tcPr>
            <w:tcW w:w="5386" w:type="dxa"/>
            <w:vAlign w:val="center"/>
          </w:tcPr>
          <w:p>
            <w:pPr>
              <w:pStyle w:val="12"/>
            </w:pPr>
            <w:r>
              <w:t>参加培训人均成本</w:t>
            </w:r>
          </w:p>
        </w:tc>
        <w:tc>
          <w:tcPr>
            <w:tcW w:w="2268" w:type="dxa"/>
            <w:vAlign w:val="center"/>
          </w:tcPr>
          <w:p>
            <w:pPr>
              <w:pStyle w:val="12"/>
            </w:pPr>
            <w:r>
              <w:t>≤40元/人/天</w:t>
            </w:r>
          </w:p>
        </w:tc>
        <w:tc>
          <w:tcPr>
            <w:tcW w:w="1276" w:type="dxa"/>
            <w:vAlign w:val="center"/>
          </w:tcPr>
          <w:p>
            <w:pPr>
              <w:pStyle w:val="12"/>
            </w:pPr>
            <w:r>
              <w:t>参加培训人均成本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培训合规率</w:t>
            </w:r>
          </w:p>
        </w:tc>
        <w:tc>
          <w:tcPr>
            <w:tcW w:w="5386" w:type="dxa"/>
            <w:vAlign w:val="center"/>
          </w:tcPr>
          <w:p>
            <w:pPr>
              <w:pStyle w:val="12"/>
            </w:pPr>
            <w:r>
              <w:t>培训合规率</w:t>
            </w:r>
          </w:p>
        </w:tc>
        <w:tc>
          <w:tcPr>
            <w:tcW w:w="2268" w:type="dxa"/>
            <w:vAlign w:val="center"/>
          </w:tcPr>
          <w:p>
            <w:pPr>
              <w:pStyle w:val="12"/>
            </w:pPr>
            <w:r>
              <w:t>≥90%</w:t>
            </w:r>
          </w:p>
        </w:tc>
        <w:tc>
          <w:tcPr>
            <w:tcW w:w="1276" w:type="dxa"/>
            <w:vAlign w:val="center"/>
          </w:tcPr>
          <w:p>
            <w:pPr>
              <w:pStyle w:val="12"/>
            </w:pPr>
            <w:r>
              <w:t>培训合规率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通过组织培训学习活动，广大党员</w:t>
            </w:r>
          </w:p>
        </w:tc>
        <w:tc>
          <w:tcPr>
            <w:tcW w:w="5386" w:type="dxa"/>
            <w:vAlign w:val="center"/>
          </w:tcPr>
          <w:p>
            <w:pPr>
              <w:pStyle w:val="12"/>
            </w:pPr>
            <w:r>
              <w:t>通过组织培训学习活动，广大党员积极参政议政、建言献策的比例</w:t>
            </w:r>
          </w:p>
        </w:tc>
        <w:tc>
          <w:tcPr>
            <w:tcW w:w="2268" w:type="dxa"/>
            <w:vAlign w:val="center"/>
          </w:tcPr>
          <w:p>
            <w:pPr>
              <w:pStyle w:val="12"/>
            </w:pPr>
            <w:r>
              <w:t>广大党员积极参与</w:t>
            </w:r>
          </w:p>
          <w:p>
            <w:pPr>
              <w:pStyle w:val="12"/>
            </w:pPr>
          </w:p>
        </w:tc>
        <w:tc>
          <w:tcPr>
            <w:tcW w:w="1276" w:type="dxa"/>
            <w:vAlign w:val="center"/>
          </w:tcPr>
          <w:p>
            <w:pPr>
              <w:pStyle w:val="12"/>
            </w:pPr>
            <w:r>
              <w:t>通过组织培训学习活动，广大党员积极参政议政、建言献策的比例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参加培训学员满意度</w:t>
            </w:r>
          </w:p>
        </w:tc>
        <w:tc>
          <w:tcPr>
            <w:tcW w:w="5386" w:type="dxa"/>
            <w:vAlign w:val="center"/>
          </w:tcPr>
          <w:p>
            <w:pPr>
              <w:pStyle w:val="12"/>
            </w:pPr>
            <w:r>
              <w:t>参加培训学员满意度</w:t>
            </w:r>
          </w:p>
        </w:tc>
        <w:tc>
          <w:tcPr>
            <w:tcW w:w="2268" w:type="dxa"/>
            <w:vAlign w:val="center"/>
          </w:tcPr>
          <w:p>
            <w:pPr>
              <w:pStyle w:val="12"/>
            </w:pPr>
            <w:r>
              <w:t>≥95%</w:t>
            </w:r>
          </w:p>
        </w:tc>
        <w:tc>
          <w:tcPr>
            <w:tcW w:w="1276" w:type="dxa"/>
            <w:vAlign w:val="center"/>
          </w:tcPr>
          <w:p>
            <w:pPr>
              <w:pStyle w:val="12"/>
            </w:pPr>
            <w:r>
              <w:t>参加培训学员满意度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6、档案数字加工及整理服务费用绩效目标表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13118124P00AN6A10003R</w:t>
            </w:r>
          </w:p>
        </w:tc>
        <w:tc>
          <w:tcPr>
            <w:tcW w:w="2835" w:type="dxa"/>
            <w:vAlign w:val="center"/>
          </w:tcPr>
          <w:p>
            <w:pPr>
              <w:pStyle w:val="10"/>
            </w:pPr>
            <w:r>
              <w:t>项目名称</w:t>
            </w:r>
          </w:p>
        </w:tc>
        <w:tc>
          <w:tcPr>
            <w:tcW w:w="6095" w:type="dxa"/>
            <w:gridSpan w:val="3"/>
            <w:vAlign w:val="center"/>
          </w:tcPr>
          <w:p>
            <w:pPr>
              <w:pStyle w:val="12"/>
            </w:pPr>
            <w:r>
              <w:t>档案数字加工及整理服务费用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25.00</w:t>
            </w:r>
          </w:p>
        </w:tc>
        <w:tc>
          <w:tcPr>
            <w:tcW w:w="2835" w:type="dxa"/>
            <w:vAlign w:val="center"/>
          </w:tcPr>
          <w:p>
            <w:pPr>
              <w:pStyle w:val="10"/>
            </w:pPr>
            <w:r>
              <w:t>其中：财政    资金</w:t>
            </w:r>
          </w:p>
        </w:tc>
        <w:tc>
          <w:tcPr>
            <w:tcW w:w="2551" w:type="dxa"/>
            <w:vAlign w:val="center"/>
          </w:tcPr>
          <w:p>
            <w:pPr>
              <w:pStyle w:val="12"/>
            </w:pPr>
            <w:r>
              <w:t>25.00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委托第三方公司对2023年档案进行整理并进行数字化录入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p>
        </w:tc>
        <w:tc>
          <w:tcPr>
            <w:tcW w:w="2835" w:type="dxa"/>
            <w:vAlign w:val="center"/>
          </w:tcPr>
          <w:p>
            <w:pPr>
              <w:pStyle w:val="13"/>
            </w:pPr>
          </w:p>
        </w:tc>
        <w:tc>
          <w:tcPr>
            <w:tcW w:w="2551" w:type="dxa"/>
            <w:vAlign w:val="center"/>
          </w:tcPr>
          <w:p>
            <w:pPr>
              <w:pStyle w:val="13"/>
            </w:pPr>
            <w:r>
              <w:t>50%</w:t>
            </w:r>
          </w:p>
        </w:tc>
        <w:tc>
          <w:tcPr>
            <w:tcW w:w="3544"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1.整理文书档案、案件档案、会计档案、电子档案、图像档案、实物档案等各类档案</w:t>
            </w:r>
          </w:p>
          <w:p>
            <w:pPr>
              <w:pStyle w:val="12"/>
            </w:pPr>
            <w:r>
              <w:t>2.加强档案管理，实现电子信息化管理</w:t>
            </w:r>
          </w:p>
        </w:tc>
      </w:tr>
    </w:tbl>
    <w:p>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档案整理数量</w:t>
            </w:r>
          </w:p>
        </w:tc>
        <w:tc>
          <w:tcPr>
            <w:tcW w:w="5386" w:type="dxa"/>
            <w:vAlign w:val="center"/>
          </w:tcPr>
          <w:p>
            <w:pPr>
              <w:pStyle w:val="12"/>
            </w:pPr>
            <w:r>
              <w:t>档案整理数量</w:t>
            </w:r>
          </w:p>
        </w:tc>
        <w:tc>
          <w:tcPr>
            <w:tcW w:w="2268" w:type="dxa"/>
            <w:vAlign w:val="center"/>
          </w:tcPr>
          <w:p>
            <w:pPr>
              <w:pStyle w:val="12"/>
            </w:pPr>
            <w:r>
              <w:t>≥100件</w:t>
            </w:r>
          </w:p>
        </w:tc>
        <w:tc>
          <w:tcPr>
            <w:tcW w:w="1276" w:type="dxa"/>
            <w:vAlign w:val="center"/>
          </w:tcPr>
          <w:p>
            <w:pPr>
              <w:pStyle w:val="12"/>
            </w:pPr>
            <w:r>
              <w:t>档案整理数量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档案整理验收合格率</w:t>
            </w:r>
          </w:p>
        </w:tc>
        <w:tc>
          <w:tcPr>
            <w:tcW w:w="5386" w:type="dxa"/>
            <w:vAlign w:val="center"/>
          </w:tcPr>
          <w:p>
            <w:pPr>
              <w:pStyle w:val="12"/>
            </w:pPr>
            <w:r>
              <w:t>档案整理验收合格率</w:t>
            </w:r>
          </w:p>
        </w:tc>
        <w:tc>
          <w:tcPr>
            <w:tcW w:w="2268" w:type="dxa"/>
            <w:vAlign w:val="center"/>
          </w:tcPr>
          <w:p>
            <w:pPr>
              <w:pStyle w:val="12"/>
            </w:pPr>
            <w:r>
              <w:t>≥90%</w:t>
            </w:r>
          </w:p>
        </w:tc>
        <w:tc>
          <w:tcPr>
            <w:tcW w:w="1276" w:type="dxa"/>
            <w:vAlign w:val="center"/>
          </w:tcPr>
          <w:p>
            <w:pPr>
              <w:pStyle w:val="12"/>
            </w:pPr>
            <w:r>
              <w:t>档案整理验收合格率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按期完成率</w:t>
            </w:r>
          </w:p>
        </w:tc>
        <w:tc>
          <w:tcPr>
            <w:tcW w:w="5386" w:type="dxa"/>
            <w:vAlign w:val="center"/>
          </w:tcPr>
          <w:p>
            <w:pPr>
              <w:pStyle w:val="12"/>
            </w:pPr>
            <w:r>
              <w:t>按期完成率</w:t>
            </w:r>
          </w:p>
        </w:tc>
        <w:tc>
          <w:tcPr>
            <w:tcW w:w="2268" w:type="dxa"/>
            <w:vAlign w:val="center"/>
          </w:tcPr>
          <w:p>
            <w:pPr>
              <w:pStyle w:val="12"/>
            </w:pPr>
            <w:r>
              <w:t>≥90%</w:t>
            </w:r>
          </w:p>
        </w:tc>
        <w:tc>
          <w:tcPr>
            <w:tcW w:w="1276" w:type="dxa"/>
            <w:vAlign w:val="center"/>
          </w:tcPr>
          <w:p>
            <w:pPr>
              <w:pStyle w:val="12"/>
            </w:pPr>
            <w:r>
              <w:t>按期完成率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档案整理费</w:t>
            </w:r>
          </w:p>
        </w:tc>
        <w:tc>
          <w:tcPr>
            <w:tcW w:w="5386" w:type="dxa"/>
            <w:vAlign w:val="center"/>
          </w:tcPr>
          <w:p>
            <w:pPr>
              <w:pStyle w:val="12"/>
            </w:pPr>
            <w:r>
              <w:t>档案整理费</w:t>
            </w:r>
          </w:p>
        </w:tc>
        <w:tc>
          <w:tcPr>
            <w:tcW w:w="2268" w:type="dxa"/>
            <w:vAlign w:val="center"/>
          </w:tcPr>
          <w:p>
            <w:pPr>
              <w:pStyle w:val="12"/>
            </w:pPr>
            <w:r>
              <w:t>≤15万元</w:t>
            </w:r>
          </w:p>
        </w:tc>
        <w:tc>
          <w:tcPr>
            <w:tcW w:w="1276" w:type="dxa"/>
            <w:vAlign w:val="center"/>
          </w:tcPr>
          <w:p>
            <w:pPr>
              <w:pStyle w:val="12"/>
            </w:pPr>
            <w:r>
              <w:t>档案整理费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提高档案利用服务质量</w:t>
            </w:r>
          </w:p>
        </w:tc>
        <w:tc>
          <w:tcPr>
            <w:tcW w:w="5386" w:type="dxa"/>
            <w:vAlign w:val="center"/>
          </w:tcPr>
          <w:p>
            <w:pPr>
              <w:pStyle w:val="12"/>
            </w:pPr>
            <w:r>
              <w:t>提高档案利用服务质量</w:t>
            </w:r>
          </w:p>
        </w:tc>
        <w:tc>
          <w:tcPr>
            <w:tcW w:w="2268" w:type="dxa"/>
            <w:vAlign w:val="center"/>
          </w:tcPr>
          <w:p>
            <w:pPr>
              <w:pStyle w:val="12"/>
            </w:pPr>
            <w:r>
              <w:t>得到提升</w:t>
            </w:r>
          </w:p>
        </w:tc>
        <w:tc>
          <w:tcPr>
            <w:tcW w:w="1276" w:type="dxa"/>
            <w:vAlign w:val="center"/>
          </w:tcPr>
          <w:p>
            <w:pPr>
              <w:pStyle w:val="12"/>
            </w:pPr>
            <w:r>
              <w:t>提高档案利用服务质量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长期使用性</w:t>
            </w:r>
          </w:p>
        </w:tc>
        <w:tc>
          <w:tcPr>
            <w:tcW w:w="5386" w:type="dxa"/>
            <w:vAlign w:val="center"/>
          </w:tcPr>
          <w:p>
            <w:pPr>
              <w:pStyle w:val="12"/>
            </w:pPr>
            <w:r>
              <w:t>长期使用性</w:t>
            </w:r>
          </w:p>
        </w:tc>
        <w:tc>
          <w:tcPr>
            <w:tcW w:w="2268" w:type="dxa"/>
            <w:vAlign w:val="center"/>
          </w:tcPr>
          <w:p>
            <w:pPr>
              <w:pStyle w:val="12"/>
            </w:pPr>
            <w:r>
              <w:t>长期得到使用</w:t>
            </w:r>
          </w:p>
        </w:tc>
        <w:tc>
          <w:tcPr>
            <w:tcW w:w="1276" w:type="dxa"/>
            <w:vAlign w:val="center"/>
          </w:tcPr>
          <w:p>
            <w:pPr>
              <w:pStyle w:val="12"/>
            </w:pPr>
            <w:r>
              <w:t>长期使用性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服务对象满意度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7、涉密网络建设绩效目标表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13118124P005G3410004A</w:t>
            </w:r>
          </w:p>
        </w:tc>
        <w:tc>
          <w:tcPr>
            <w:tcW w:w="2835" w:type="dxa"/>
            <w:vAlign w:val="center"/>
          </w:tcPr>
          <w:p>
            <w:pPr>
              <w:pStyle w:val="10"/>
            </w:pPr>
            <w:r>
              <w:t>项目名称</w:t>
            </w:r>
          </w:p>
        </w:tc>
        <w:tc>
          <w:tcPr>
            <w:tcW w:w="6095" w:type="dxa"/>
            <w:gridSpan w:val="3"/>
            <w:vAlign w:val="center"/>
          </w:tcPr>
          <w:p>
            <w:pPr>
              <w:pStyle w:val="12"/>
            </w:pPr>
            <w:r>
              <w:t>涉密网络建设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55.00</w:t>
            </w:r>
          </w:p>
        </w:tc>
        <w:tc>
          <w:tcPr>
            <w:tcW w:w="2835" w:type="dxa"/>
            <w:vAlign w:val="center"/>
          </w:tcPr>
          <w:p>
            <w:pPr>
              <w:pStyle w:val="10"/>
            </w:pPr>
            <w:r>
              <w:t>其中：财政    资金</w:t>
            </w:r>
          </w:p>
        </w:tc>
        <w:tc>
          <w:tcPr>
            <w:tcW w:w="2551" w:type="dxa"/>
            <w:vAlign w:val="center"/>
          </w:tcPr>
          <w:p>
            <w:pPr>
              <w:pStyle w:val="12"/>
            </w:pPr>
            <w:r>
              <w:t>55.00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对涉密网络设备进行维护更新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p>
        </w:tc>
        <w:tc>
          <w:tcPr>
            <w:tcW w:w="2835" w:type="dxa"/>
            <w:vAlign w:val="center"/>
          </w:tcPr>
          <w:p>
            <w:pPr>
              <w:pStyle w:val="13"/>
            </w:pPr>
            <w:r>
              <w:t>20%</w:t>
            </w:r>
          </w:p>
        </w:tc>
        <w:tc>
          <w:tcPr>
            <w:tcW w:w="2551" w:type="dxa"/>
            <w:vAlign w:val="center"/>
          </w:tcPr>
          <w:p>
            <w:pPr>
              <w:pStyle w:val="13"/>
            </w:pPr>
            <w:r>
              <w:t>50%</w:t>
            </w:r>
          </w:p>
        </w:tc>
        <w:tc>
          <w:tcPr>
            <w:tcW w:w="3544"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rPr>
                <w:rFonts w:hint="eastAsia" w:eastAsia="方正书宋_GBK"/>
                <w:lang w:eastAsia="zh-CN"/>
              </w:rPr>
            </w:pPr>
            <w:r>
              <w:t>1.对纪检监察内网机房网络设备进行</w:t>
            </w:r>
            <w:r>
              <w:rPr>
                <w:rFonts w:hint="eastAsia"/>
                <w:lang w:eastAsia="zh-CN"/>
              </w:rPr>
              <w:t>安全</w:t>
            </w:r>
            <w:bookmarkStart w:id="19" w:name="_GoBack"/>
            <w:bookmarkEnd w:id="19"/>
          </w:p>
          <w:p>
            <w:pPr>
              <w:pStyle w:val="12"/>
            </w:pPr>
            <w:r>
              <w:t>2.对涉密会议室设备进行维护更新</w:t>
            </w:r>
          </w:p>
        </w:tc>
      </w:tr>
    </w:tbl>
    <w:p>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设备采购数量</w:t>
            </w:r>
          </w:p>
        </w:tc>
        <w:tc>
          <w:tcPr>
            <w:tcW w:w="5386" w:type="dxa"/>
            <w:vAlign w:val="center"/>
          </w:tcPr>
          <w:p>
            <w:pPr>
              <w:pStyle w:val="12"/>
            </w:pPr>
            <w:r>
              <w:t>设备采购数量</w:t>
            </w:r>
          </w:p>
        </w:tc>
        <w:tc>
          <w:tcPr>
            <w:tcW w:w="2268" w:type="dxa"/>
            <w:vAlign w:val="center"/>
          </w:tcPr>
          <w:p>
            <w:pPr>
              <w:pStyle w:val="12"/>
            </w:pPr>
            <w:r>
              <w:t>≥5套</w:t>
            </w:r>
          </w:p>
        </w:tc>
        <w:tc>
          <w:tcPr>
            <w:tcW w:w="1276" w:type="dxa"/>
            <w:vAlign w:val="center"/>
          </w:tcPr>
          <w:p>
            <w:pPr>
              <w:pStyle w:val="12"/>
            </w:pPr>
            <w:r>
              <w:t>设备采购数量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购置设备合格率</w:t>
            </w:r>
          </w:p>
        </w:tc>
        <w:tc>
          <w:tcPr>
            <w:tcW w:w="5386" w:type="dxa"/>
            <w:vAlign w:val="center"/>
          </w:tcPr>
          <w:p>
            <w:pPr>
              <w:pStyle w:val="12"/>
            </w:pPr>
            <w:r>
              <w:t>购置设备合格率</w:t>
            </w:r>
          </w:p>
        </w:tc>
        <w:tc>
          <w:tcPr>
            <w:tcW w:w="2268" w:type="dxa"/>
            <w:vAlign w:val="center"/>
          </w:tcPr>
          <w:p>
            <w:pPr>
              <w:pStyle w:val="12"/>
            </w:pPr>
            <w:r>
              <w:t>≥90%</w:t>
            </w:r>
          </w:p>
        </w:tc>
        <w:tc>
          <w:tcPr>
            <w:tcW w:w="1276" w:type="dxa"/>
            <w:vAlign w:val="center"/>
          </w:tcPr>
          <w:p>
            <w:pPr>
              <w:pStyle w:val="12"/>
            </w:pPr>
            <w:r>
              <w:t>购置设备合格率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设备维修及时率</w:t>
            </w:r>
          </w:p>
        </w:tc>
        <w:tc>
          <w:tcPr>
            <w:tcW w:w="5386" w:type="dxa"/>
            <w:vAlign w:val="center"/>
          </w:tcPr>
          <w:p>
            <w:pPr>
              <w:pStyle w:val="12"/>
            </w:pPr>
            <w:r>
              <w:t>设备维修及时率</w:t>
            </w:r>
          </w:p>
        </w:tc>
        <w:tc>
          <w:tcPr>
            <w:tcW w:w="2268" w:type="dxa"/>
            <w:vAlign w:val="center"/>
          </w:tcPr>
          <w:p>
            <w:pPr>
              <w:pStyle w:val="12"/>
            </w:pPr>
            <w:r>
              <w:t>≥85%</w:t>
            </w:r>
          </w:p>
        </w:tc>
        <w:tc>
          <w:tcPr>
            <w:tcW w:w="1276" w:type="dxa"/>
            <w:vAlign w:val="center"/>
          </w:tcPr>
          <w:p>
            <w:pPr>
              <w:pStyle w:val="12"/>
            </w:pPr>
            <w:r>
              <w:t>设备维修及时率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设备购置成本</w:t>
            </w:r>
          </w:p>
        </w:tc>
        <w:tc>
          <w:tcPr>
            <w:tcW w:w="5386" w:type="dxa"/>
            <w:vAlign w:val="center"/>
          </w:tcPr>
          <w:p>
            <w:pPr>
              <w:pStyle w:val="12"/>
            </w:pPr>
            <w:r>
              <w:t>设备购置成本</w:t>
            </w:r>
          </w:p>
        </w:tc>
        <w:tc>
          <w:tcPr>
            <w:tcW w:w="2268" w:type="dxa"/>
            <w:vAlign w:val="center"/>
          </w:tcPr>
          <w:p>
            <w:pPr>
              <w:pStyle w:val="12"/>
            </w:pPr>
            <w:r>
              <w:t>符合固定资产管理办法</w:t>
            </w:r>
          </w:p>
        </w:tc>
        <w:tc>
          <w:tcPr>
            <w:tcW w:w="1276" w:type="dxa"/>
            <w:vAlign w:val="center"/>
          </w:tcPr>
          <w:p>
            <w:pPr>
              <w:pStyle w:val="12"/>
            </w:pPr>
            <w:r>
              <w:t>设备购置成本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设备运行良好</w:t>
            </w:r>
          </w:p>
        </w:tc>
        <w:tc>
          <w:tcPr>
            <w:tcW w:w="5386" w:type="dxa"/>
            <w:vAlign w:val="center"/>
          </w:tcPr>
          <w:p>
            <w:pPr>
              <w:pStyle w:val="12"/>
            </w:pPr>
            <w:r>
              <w:t>设备运行良好</w:t>
            </w:r>
          </w:p>
        </w:tc>
        <w:tc>
          <w:tcPr>
            <w:tcW w:w="2268" w:type="dxa"/>
            <w:vAlign w:val="center"/>
          </w:tcPr>
          <w:p>
            <w:pPr>
              <w:pStyle w:val="12"/>
            </w:pPr>
            <w:r>
              <w:t>设备运行良好</w:t>
            </w:r>
          </w:p>
        </w:tc>
        <w:tc>
          <w:tcPr>
            <w:tcW w:w="1276" w:type="dxa"/>
            <w:vAlign w:val="center"/>
          </w:tcPr>
          <w:p>
            <w:pPr>
              <w:pStyle w:val="12"/>
            </w:pPr>
            <w:r>
              <w:t>设备运行良好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设备使用率</w:t>
            </w:r>
          </w:p>
        </w:tc>
        <w:tc>
          <w:tcPr>
            <w:tcW w:w="5386" w:type="dxa"/>
            <w:vAlign w:val="center"/>
          </w:tcPr>
          <w:p>
            <w:pPr>
              <w:pStyle w:val="12"/>
            </w:pPr>
            <w:r>
              <w:t>设备使用率</w:t>
            </w:r>
          </w:p>
        </w:tc>
        <w:tc>
          <w:tcPr>
            <w:tcW w:w="2268" w:type="dxa"/>
            <w:vAlign w:val="center"/>
          </w:tcPr>
          <w:p>
            <w:pPr>
              <w:pStyle w:val="12"/>
            </w:pPr>
            <w:r>
              <w:t>≥85%</w:t>
            </w:r>
          </w:p>
        </w:tc>
        <w:tc>
          <w:tcPr>
            <w:tcW w:w="1276" w:type="dxa"/>
            <w:vAlign w:val="center"/>
          </w:tcPr>
          <w:p>
            <w:pPr>
              <w:pStyle w:val="12"/>
            </w:pPr>
            <w:r>
              <w:t>设备使用率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服务对象满意度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8、司机、安保服务费用绩效目标表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13118124P001U15100025</w:t>
            </w:r>
          </w:p>
        </w:tc>
        <w:tc>
          <w:tcPr>
            <w:tcW w:w="2835" w:type="dxa"/>
            <w:vAlign w:val="center"/>
          </w:tcPr>
          <w:p>
            <w:pPr>
              <w:pStyle w:val="10"/>
            </w:pPr>
            <w:r>
              <w:t>项目名称</w:t>
            </w:r>
          </w:p>
        </w:tc>
        <w:tc>
          <w:tcPr>
            <w:tcW w:w="6095" w:type="dxa"/>
            <w:gridSpan w:val="3"/>
            <w:vAlign w:val="center"/>
          </w:tcPr>
          <w:p>
            <w:pPr>
              <w:pStyle w:val="12"/>
            </w:pPr>
            <w:r>
              <w:t>司机、安保服务费用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用于雇佣司机做好纪委人员办案路途安全保障工作；雇佣安保保障办公航速哦的安全工作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1.保障区纪委监委院内及三幢办公楼的门卫值班、防火、防盗、巡视等日常安保工作</w:t>
            </w:r>
          </w:p>
          <w:p>
            <w:pPr>
              <w:pStyle w:val="12"/>
            </w:pPr>
            <w:r>
              <w:t>2.做好区纪委人员办案路途安全</w:t>
            </w:r>
          </w:p>
        </w:tc>
      </w:tr>
    </w:tbl>
    <w:p>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雇佣保安、司机数量</w:t>
            </w:r>
          </w:p>
        </w:tc>
        <w:tc>
          <w:tcPr>
            <w:tcW w:w="5386" w:type="dxa"/>
            <w:vAlign w:val="center"/>
          </w:tcPr>
          <w:p>
            <w:pPr>
              <w:pStyle w:val="12"/>
            </w:pPr>
            <w:r>
              <w:t>雇佣人员数量</w:t>
            </w:r>
          </w:p>
        </w:tc>
        <w:tc>
          <w:tcPr>
            <w:tcW w:w="2268" w:type="dxa"/>
            <w:vAlign w:val="center"/>
          </w:tcPr>
          <w:p>
            <w:pPr>
              <w:pStyle w:val="12"/>
            </w:pPr>
            <w:r>
              <w:t>10人</w:t>
            </w:r>
          </w:p>
        </w:tc>
        <w:tc>
          <w:tcPr>
            <w:tcW w:w="1276" w:type="dxa"/>
            <w:vAlign w:val="center"/>
          </w:tcPr>
          <w:p>
            <w:pPr>
              <w:pStyle w:val="12"/>
            </w:pPr>
            <w:r>
              <w:t>雇佣人员数量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安保、司机工作完成率</w:t>
            </w:r>
          </w:p>
        </w:tc>
        <w:tc>
          <w:tcPr>
            <w:tcW w:w="5386" w:type="dxa"/>
            <w:vAlign w:val="center"/>
          </w:tcPr>
          <w:p>
            <w:pPr>
              <w:pStyle w:val="12"/>
            </w:pPr>
            <w:r>
              <w:t>全年内所提供服务占应提供服务的比例</w:t>
            </w:r>
          </w:p>
        </w:tc>
        <w:tc>
          <w:tcPr>
            <w:tcW w:w="2268" w:type="dxa"/>
            <w:vAlign w:val="center"/>
          </w:tcPr>
          <w:p>
            <w:pPr>
              <w:pStyle w:val="12"/>
            </w:pPr>
            <w:r>
              <w:t>≥90%</w:t>
            </w:r>
          </w:p>
        </w:tc>
        <w:tc>
          <w:tcPr>
            <w:tcW w:w="1276" w:type="dxa"/>
            <w:vAlign w:val="center"/>
          </w:tcPr>
          <w:p>
            <w:pPr>
              <w:pStyle w:val="12"/>
            </w:pPr>
            <w:r>
              <w:t>全年内所提供服务占应提供服务的比例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工作完成时效</w:t>
            </w:r>
          </w:p>
        </w:tc>
        <w:tc>
          <w:tcPr>
            <w:tcW w:w="5386" w:type="dxa"/>
            <w:vAlign w:val="center"/>
          </w:tcPr>
          <w:p>
            <w:pPr>
              <w:pStyle w:val="12"/>
            </w:pPr>
            <w:r>
              <w:t>按照合同约定标准、时间内完成</w:t>
            </w:r>
          </w:p>
        </w:tc>
        <w:tc>
          <w:tcPr>
            <w:tcW w:w="2268" w:type="dxa"/>
            <w:vAlign w:val="center"/>
          </w:tcPr>
          <w:p>
            <w:pPr>
              <w:pStyle w:val="12"/>
            </w:pPr>
            <w:r>
              <w:t>按时完成</w:t>
            </w:r>
          </w:p>
        </w:tc>
        <w:tc>
          <w:tcPr>
            <w:tcW w:w="1276" w:type="dxa"/>
            <w:vAlign w:val="center"/>
          </w:tcPr>
          <w:p>
            <w:pPr>
              <w:pStyle w:val="12"/>
            </w:pPr>
            <w:r>
              <w:t>按照合同约定标准、时间内完成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经费控制数</w:t>
            </w:r>
          </w:p>
        </w:tc>
        <w:tc>
          <w:tcPr>
            <w:tcW w:w="5386" w:type="dxa"/>
            <w:vAlign w:val="center"/>
          </w:tcPr>
          <w:p>
            <w:pPr>
              <w:pStyle w:val="12"/>
            </w:pPr>
            <w:r>
              <w:t>经费控制数</w:t>
            </w:r>
          </w:p>
        </w:tc>
        <w:tc>
          <w:tcPr>
            <w:tcW w:w="2268" w:type="dxa"/>
            <w:vAlign w:val="center"/>
          </w:tcPr>
          <w:p>
            <w:pPr>
              <w:pStyle w:val="12"/>
            </w:pPr>
            <w:r>
              <w:t>≤25000元/月</w:t>
            </w:r>
          </w:p>
        </w:tc>
        <w:tc>
          <w:tcPr>
            <w:tcW w:w="1276" w:type="dxa"/>
            <w:vAlign w:val="center"/>
          </w:tcPr>
          <w:p>
            <w:pPr>
              <w:pStyle w:val="12"/>
            </w:pPr>
            <w:r>
              <w:t>经费控制数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社会影响力</w:t>
            </w:r>
          </w:p>
        </w:tc>
        <w:tc>
          <w:tcPr>
            <w:tcW w:w="5386" w:type="dxa"/>
            <w:vAlign w:val="center"/>
          </w:tcPr>
          <w:p>
            <w:pPr>
              <w:pStyle w:val="12"/>
            </w:pPr>
            <w:r>
              <w:t>在单位内部产生影响，得到广大受众的认可</w:t>
            </w:r>
          </w:p>
        </w:tc>
        <w:tc>
          <w:tcPr>
            <w:tcW w:w="2268" w:type="dxa"/>
            <w:vAlign w:val="center"/>
          </w:tcPr>
          <w:p>
            <w:pPr>
              <w:pStyle w:val="12"/>
            </w:pPr>
            <w:r>
              <w:t>员工充分认可</w:t>
            </w:r>
          </w:p>
        </w:tc>
        <w:tc>
          <w:tcPr>
            <w:tcW w:w="1276" w:type="dxa"/>
            <w:vAlign w:val="center"/>
          </w:tcPr>
          <w:p>
            <w:pPr>
              <w:pStyle w:val="12"/>
            </w:pPr>
            <w:r>
              <w:t>在单位内部产生影响，得到广大受众的认可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长期使用性</w:t>
            </w:r>
          </w:p>
        </w:tc>
        <w:tc>
          <w:tcPr>
            <w:tcW w:w="5386" w:type="dxa"/>
            <w:vAlign w:val="center"/>
          </w:tcPr>
          <w:p>
            <w:pPr>
              <w:pStyle w:val="12"/>
            </w:pPr>
            <w:r>
              <w:t>长期保证办公场所整洁、保证办案人员路途安全</w:t>
            </w:r>
          </w:p>
        </w:tc>
        <w:tc>
          <w:tcPr>
            <w:tcW w:w="2268" w:type="dxa"/>
            <w:vAlign w:val="center"/>
          </w:tcPr>
          <w:p>
            <w:pPr>
              <w:pStyle w:val="12"/>
            </w:pPr>
            <w:r>
              <w:t>保证长期使用</w:t>
            </w:r>
          </w:p>
        </w:tc>
        <w:tc>
          <w:tcPr>
            <w:tcW w:w="1276" w:type="dxa"/>
            <w:vAlign w:val="center"/>
          </w:tcPr>
          <w:p>
            <w:pPr>
              <w:pStyle w:val="12"/>
            </w:pPr>
            <w:r>
              <w:t>长期保证办公场所整洁、保证办案人员路途安全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接受服务人群对所提供服务的满意程度</w:t>
            </w:r>
          </w:p>
        </w:tc>
        <w:tc>
          <w:tcPr>
            <w:tcW w:w="2268" w:type="dxa"/>
            <w:vAlign w:val="center"/>
          </w:tcPr>
          <w:p>
            <w:pPr>
              <w:pStyle w:val="12"/>
            </w:pPr>
            <w:r>
              <w:t>≥95%</w:t>
            </w:r>
          </w:p>
        </w:tc>
        <w:tc>
          <w:tcPr>
            <w:tcW w:w="1276" w:type="dxa"/>
            <w:vAlign w:val="center"/>
          </w:tcPr>
          <w:p>
            <w:pPr>
              <w:pStyle w:val="12"/>
            </w:pPr>
            <w:r>
              <w:t>接受服务人群对所提供服务的满意程度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9、乡镇纪委建设专用经费（运转保障）绩效目标表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13118124P00F2CA100062</w:t>
            </w:r>
          </w:p>
        </w:tc>
        <w:tc>
          <w:tcPr>
            <w:tcW w:w="2835" w:type="dxa"/>
            <w:vAlign w:val="center"/>
          </w:tcPr>
          <w:p>
            <w:pPr>
              <w:pStyle w:val="10"/>
            </w:pPr>
            <w:r>
              <w:t>项目名称</w:t>
            </w:r>
          </w:p>
        </w:tc>
        <w:tc>
          <w:tcPr>
            <w:tcW w:w="6095" w:type="dxa"/>
            <w:gridSpan w:val="3"/>
            <w:vAlign w:val="center"/>
          </w:tcPr>
          <w:p>
            <w:pPr>
              <w:pStyle w:val="12"/>
            </w:pPr>
            <w:r>
              <w:t>乡镇纪委建设专用经费（运转保障）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w:t>
            </w:r>
          </w:p>
        </w:tc>
        <w:tc>
          <w:tcPr>
            <w:tcW w:w="2835" w:type="dxa"/>
            <w:vAlign w:val="center"/>
          </w:tcPr>
          <w:p>
            <w:pPr>
              <w:pStyle w:val="10"/>
            </w:pPr>
            <w:r>
              <w:t>其中：财政    资金</w:t>
            </w:r>
          </w:p>
        </w:tc>
        <w:tc>
          <w:tcPr>
            <w:tcW w:w="2551" w:type="dxa"/>
            <w:vAlign w:val="center"/>
          </w:tcPr>
          <w:p>
            <w:pPr>
              <w:pStyle w:val="12"/>
            </w:pPr>
            <w:r>
              <w:t>50.00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用于更新十个乡镇纪委的硬件配套设施，提升乡镇纪委办案效率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p>
        </w:tc>
        <w:tc>
          <w:tcPr>
            <w:tcW w:w="2835" w:type="dxa"/>
            <w:vAlign w:val="center"/>
          </w:tcPr>
          <w:p>
            <w:pPr>
              <w:pStyle w:val="13"/>
            </w:pPr>
            <w:r>
              <w:t>20%</w:t>
            </w:r>
          </w:p>
        </w:tc>
        <w:tc>
          <w:tcPr>
            <w:tcW w:w="2551" w:type="dxa"/>
            <w:vAlign w:val="center"/>
          </w:tcPr>
          <w:p>
            <w:pPr>
              <w:pStyle w:val="13"/>
            </w:pPr>
            <w:r>
              <w:t>50%</w:t>
            </w:r>
          </w:p>
        </w:tc>
        <w:tc>
          <w:tcPr>
            <w:tcW w:w="3544"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1.增强乡镇纪委监督独立性和权威性，让乡镇纪委把主要精力用于纪检监察工作，提高办案率，减少投诉率。</w:t>
            </w:r>
          </w:p>
          <w:p>
            <w:pPr>
              <w:pStyle w:val="12"/>
            </w:pPr>
            <w:r>
              <w:t>2.推动纪法贯通、法法衔接，全要素运用12种调查措施，切实加强监察机关与审判机关、检察机关、执法部门的工作衔接。</w:t>
            </w:r>
          </w:p>
        </w:tc>
      </w:tr>
    </w:tbl>
    <w:p>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办理案件数</w:t>
            </w:r>
          </w:p>
        </w:tc>
        <w:tc>
          <w:tcPr>
            <w:tcW w:w="5386" w:type="dxa"/>
            <w:vAlign w:val="center"/>
          </w:tcPr>
          <w:p>
            <w:pPr>
              <w:pStyle w:val="12"/>
            </w:pPr>
            <w:r>
              <w:t>办理案件数量</w:t>
            </w:r>
          </w:p>
        </w:tc>
        <w:tc>
          <w:tcPr>
            <w:tcW w:w="2268" w:type="dxa"/>
            <w:vAlign w:val="center"/>
          </w:tcPr>
          <w:p>
            <w:pPr>
              <w:pStyle w:val="12"/>
            </w:pPr>
            <w:r>
              <w:t>≥5件</w:t>
            </w:r>
          </w:p>
        </w:tc>
        <w:tc>
          <w:tcPr>
            <w:tcW w:w="1276" w:type="dxa"/>
            <w:vAlign w:val="center"/>
          </w:tcPr>
          <w:p>
            <w:pPr>
              <w:pStyle w:val="12"/>
            </w:pPr>
            <w:r>
              <w:t>查办案件数量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案件办理率</w:t>
            </w:r>
          </w:p>
        </w:tc>
        <w:tc>
          <w:tcPr>
            <w:tcW w:w="5386" w:type="dxa"/>
            <w:vAlign w:val="center"/>
          </w:tcPr>
          <w:p>
            <w:pPr>
              <w:pStyle w:val="12"/>
            </w:pPr>
            <w:r>
              <w:t>办理案件数量占全部案件数量比例</w:t>
            </w:r>
          </w:p>
        </w:tc>
        <w:tc>
          <w:tcPr>
            <w:tcW w:w="2268" w:type="dxa"/>
            <w:vAlign w:val="center"/>
          </w:tcPr>
          <w:p>
            <w:pPr>
              <w:pStyle w:val="12"/>
            </w:pPr>
            <w:r>
              <w:t>≥85%</w:t>
            </w:r>
          </w:p>
        </w:tc>
        <w:tc>
          <w:tcPr>
            <w:tcW w:w="1276" w:type="dxa"/>
            <w:vAlign w:val="center"/>
          </w:tcPr>
          <w:p>
            <w:pPr>
              <w:pStyle w:val="12"/>
            </w:pPr>
            <w:r>
              <w:t>办理案件数量占全部案件数量比例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案件完成及时率</w:t>
            </w:r>
          </w:p>
        </w:tc>
        <w:tc>
          <w:tcPr>
            <w:tcW w:w="5386" w:type="dxa"/>
            <w:vAlign w:val="center"/>
          </w:tcPr>
          <w:p>
            <w:pPr>
              <w:pStyle w:val="12"/>
            </w:pPr>
            <w:r>
              <w:t>案件及时完成数量占全部案件数量比例</w:t>
            </w:r>
          </w:p>
        </w:tc>
        <w:tc>
          <w:tcPr>
            <w:tcW w:w="2268" w:type="dxa"/>
            <w:vAlign w:val="center"/>
          </w:tcPr>
          <w:p>
            <w:pPr>
              <w:pStyle w:val="12"/>
            </w:pPr>
            <w:r>
              <w:t>≥85%</w:t>
            </w:r>
          </w:p>
        </w:tc>
        <w:tc>
          <w:tcPr>
            <w:tcW w:w="1276" w:type="dxa"/>
            <w:vAlign w:val="center"/>
          </w:tcPr>
          <w:p>
            <w:pPr>
              <w:pStyle w:val="12"/>
            </w:pPr>
            <w:r>
              <w:t>案件及时完成数量占全部案件数量比例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差旅费补助标准</w:t>
            </w:r>
          </w:p>
        </w:tc>
        <w:tc>
          <w:tcPr>
            <w:tcW w:w="5386" w:type="dxa"/>
            <w:vAlign w:val="center"/>
          </w:tcPr>
          <w:p>
            <w:pPr>
              <w:pStyle w:val="12"/>
            </w:pPr>
            <w:r>
              <w:t>办案中发生的市内交通补助80元/人天，伙食补助标准100元/人天</w:t>
            </w:r>
          </w:p>
        </w:tc>
        <w:tc>
          <w:tcPr>
            <w:tcW w:w="2268" w:type="dxa"/>
            <w:vAlign w:val="center"/>
          </w:tcPr>
          <w:p>
            <w:pPr>
              <w:pStyle w:val="12"/>
            </w:pPr>
            <w:r>
              <w:t>≤180元/天/人</w:t>
            </w:r>
          </w:p>
        </w:tc>
        <w:tc>
          <w:tcPr>
            <w:tcW w:w="1276" w:type="dxa"/>
            <w:vAlign w:val="center"/>
          </w:tcPr>
          <w:p>
            <w:pPr>
              <w:pStyle w:val="12"/>
            </w:pPr>
            <w:r>
              <w:t>办案中发生的市内交通补助80元/人天，伙食补助标准100元/人天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检查发现问题整改率</w:t>
            </w:r>
          </w:p>
        </w:tc>
        <w:tc>
          <w:tcPr>
            <w:tcW w:w="5386" w:type="dxa"/>
            <w:vAlign w:val="center"/>
          </w:tcPr>
          <w:p>
            <w:pPr>
              <w:pStyle w:val="12"/>
            </w:pPr>
            <w:r>
              <w:t>检查发现问题整改率</w:t>
            </w:r>
          </w:p>
        </w:tc>
        <w:tc>
          <w:tcPr>
            <w:tcW w:w="2268" w:type="dxa"/>
            <w:vAlign w:val="center"/>
          </w:tcPr>
          <w:p>
            <w:pPr>
              <w:pStyle w:val="12"/>
            </w:pPr>
            <w:r>
              <w:t>≥85%</w:t>
            </w:r>
          </w:p>
        </w:tc>
        <w:tc>
          <w:tcPr>
            <w:tcW w:w="1276" w:type="dxa"/>
            <w:vAlign w:val="center"/>
          </w:tcPr>
          <w:p>
            <w:pPr>
              <w:pStyle w:val="12"/>
            </w:pPr>
            <w:r>
              <w:t>检查发现问题整改率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增强影响力</w:t>
            </w:r>
          </w:p>
        </w:tc>
        <w:tc>
          <w:tcPr>
            <w:tcW w:w="5386" w:type="dxa"/>
            <w:vAlign w:val="center"/>
          </w:tcPr>
          <w:p>
            <w:pPr>
              <w:pStyle w:val="12"/>
            </w:pPr>
            <w:r>
              <w:t>增强影响力</w:t>
            </w:r>
          </w:p>
        </w:tc>
        <w:tc>
          <w:tcPr>
            <w:tcW w:w="2268" w:type="dxa"/>
            <w:vAlign w:val="center"/>
          </w:tcPr>
          <w:p>
            <w:pPr>
              <w:pStyle w:val="12"/>
            </w:pPr>
            <w:r>
              <w:t>通过乡镇纪委执纪办案提升影响力</w:t>
            </w:r>
          </w:p>
        </w:tc>
        <w:tc>
          <w:tcPr>
            <w:tcW w:w="1276" w:type="dxa"/>
            <w:vAlign w:val="center"/>
          </w:tcPr>
          <w:p>
            <w:pPr>
              <w:pStyle w:val="12"/>
            </w:pPr>
            <w:r>
              <w:t>增强影响力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信访群众满意度</w:t>
            </w:r>
          </w:p>
        </w:tc>
        <w:tc>
          <w:tcPr>
            <w:tcW w:w="5386" w:type="dxa"/>
            <w:vAlign w:val="center"/>
          </w:tcPr>
          <w:p>
            <w:pPr>
              <w:pStyle w:val="12"/>
            </w:pPr>
            <w:r>
              <w:t>信访群众满意度</w:t>
            </w:r>
          </w:p>
        </w:tc>
        <w:tc>
          <w:tcPr>
            <w:tcW w:w="2268" w:type="dxa"/>
            <w:vAlign w:val="center"/>
          </w:tcPr>
          <w:p>
            <w:pPr>
              <w:pStyle w:val="12"/>
            </w:pPr>
            <w:r>
              <w:t>≥90%</w:t>
            </w:r>
          </w:p>
        </w:tc>
        <w:tc>
          <w:tcPr>
            <w:tcW w:w="1276" w:type="dxa"/>
            <w:vAlign w:val="center"/>
          </w:tcPr>
          <w:p>
            <w:pPr>
              <w:pStyle w:val="12"/>
            </w:pPr>
            <w:r>
              <w:t>信访群众满意度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10、巡察工作专项经费绩效目标表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13118124P004T0B100047</w:t>
            </w:r>
          </w:p>
        </w:tc>
        <w:tc>
          <w:tcPr>
            <w:tcW w:w="2835" w:type="dxa"/>
            <w:vAlign w:val="center"/>
          </w:tcPr>
          <w:p>
            <w:pPr>
              <w:pStyle w:val="10"/>
            </w:pPr>
            <w:r>
              <w:t>项目名称</w:t>
            </w:r>
          </w:p>
        </w:tc>
        <w:tc>
          <w:tcPr>
            <w:tcW w:w="6095" w:type="dxa"/>
            <w:gridSpan w:val="3"/>
            <w:vAlign w:val="center"/>
          </w:tcPr>
          <w:p>
            <w:pPr>
              <w:pStyle w:val="12"/>
            </w:pPr>
            <w:r>
              <w:t>巡察工作专项经费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w:t>
            </w:r>
          </w:p>
        </w:tc>
        <w:tc>
          <w:tcPr>
            <w:tcW w:w="2835" w:type="dxa"/>
            <w:vAlign w:val="center"/>
          </w:tcPr>
          <w:p>
            <w:pPr>
              <w:pStyle w:val="10"/>
            </w:pPr>
            <w:r>
              <w:t>其中：财政    资金</w:t>
            </w:r>
          </w:p>
        </w:tc>
        <w:tc>
          <w:tcPr>
            <w:tcW w:w="2551" w:type="dxa"/>
            <w:vAlign w:val="center"/>
          </w:tcPr>
          <w:p>
            <w:pPr>
              <w:pStyle w:val="12"/>
            </w:pPr>
            <w:r>
              <w:t>50.00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用于保障区委巡察机构日常工作及我区巡察工作顺利开展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1.提升我区巡察工作标准化、规范化建设，确保我区巡察工作有序有效推进,实现巡察全覆盖</w:t>
            </w:r>
          </w:p>
          <w:p>
            <w:pPr>
              <w:pStyle w:val="12"/>
            </w:pPr>
            <w:r>
              <w:t>2.维持好区委巡察各项工作顺利开展，做好本轮市委巡察办安排的交叉巡察工作</w:t>
            </w:r>
          </w:p>
        </w:tc>
      </w:tr>
    </w:tbl>
    <w:p>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巡察次数</w:t>
            </w:r>
          </w:p>
        </w:tc>
        <w:tc>
          <w:tcPr>
            <w:tcW w:w="5386" w:type="dxa"/>
            <w:vAlign w:val="center"/>
          </w:tcPr>
          <w:p>
            <w:pPr>
              <w:pStyle w:val="12"/>
            </w:pPr>
            <w:r>
              <w:t>当年完成的巡察次数</w:t>
            </w:r>
          </w:p>
        </w:tc>
        <w:tc>
          <w:tcPr>
            <w:tcW w:w="2268" w:type="dxa"/>
            <w:vAlign w:val="center"/>
          </w:tcPr>
          <w:p>
            <w:pPr>
              <w:pStyle w:val="12"/>
            </w:pPr>
            <w:r>
              <w:t>≥5次</w:t>
            </w:r>
          </w:p>
        </w:tc>
        <w:tc>
          <w:tcPr>
            <w:tcW w:w="1276" w:type="dxa"/>
            <w:vAlign w:val="center"/>
          </w:tcPr>
          <w:p>
            <w:pPr>
              <w:pStyle w:val="12"/>
            </w:pPr>
            <w:r>
              <w:t>当年完成的巡察次数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巡察覆盖率</w:t>
            </w:r>
          </w:p>
        </w:tc>
        <w:tc>
          <w:tcPr>
            <w:tcW w:w="5386" w:type="dxa"/>
            <w:vAlign w:val="center"/>
          </w:tcPr>
          <w:p>
            <w:pPr>
              <w:pStyle w:val="12"/>
            </w:pPr>
            <w:r>
              <w:t>巡察的单位占应巡察单位的比例</w:t>
            </w:r>
          </w:p>
        </w:tc>
        <w:tc>
          <w:tcPr>
            <w:tcW w:w="2268" w:type="dxa"/>
            <w:vAlign w:val="center"/>
          </w:tcPr>
          <w:p>
            <w:pPr>
              <w:pStyle w:val="12"/>
            </w:pPr>
            <w:r>
              <w:t>≥80%</w:t>
            </w:r>
          </w:p>
        </w:tc>
        <w:tc>
          <w:tcPr>
            <w:tcW w:w="1276" w:type="dxa"/>
            <w:vAlign w:val="center"/>
          </w:tcPr>
          <w:p>
            <w:pPr>
              <w:pStyle w:val="12"/>
            </w:pPr>
            <w:r>
              <w:t>巡察的单位占应巡察单位的比例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巡察工作完成及时率</w:t>
            </w:r>
          </w:p>
        </w:tc>
        <w:tc>
          <w:tcPr>
            <w:tcW w:w="5386" w:type="dxa"/>
            <w:vAlign w:val="center"/>
          </w:tcPr>
          <w:p>
            <w:pPr>
              <w:pStyle w:val="12"/>
            </w:pPr>
            <w:r>
              <w:t>完成的巡察工作量占总工作量的比例</w:t>
            </w:r>
          </w:p>
        </w:tc>
        <w:tc>
          <w:tcPr>
            <w:tcW w:w="2268" w:type="dxa"/>
            <w:vAlign w:val="center"/>
          </w:tcPr>
          <w:p>
            <w:pPr>
              <w:pStyle w:val="12"/>
            </w:pPr>
            <w:r>
              <w:t>≥85%</w:t>
            </w:r>
          </w:p>
        </w:tc>
        <w:tc>
          <w:tcPr>
            <w:tcW w:w="1276" w:type="dxa"/>
            <w:vAlign w:val="center"/>
          </w:tcPr>
          <w:p>
            <w:pPr>
              <w:pStyle w:val="12"/>
            </w:pPr>
            <w:r>
              <w:t>完成的巡察工作量占总工作量的比例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差旅补助标准</w:t>
            </w:r>
          </w:p>
        </w:tc>
        <w:tc>
          <w:tcPr>
            <w:tcW w:w="5386" w:type="dxa"/>
            <w:vAlign w:val="center"/>
          </w:tcPr>
          <w:p>
            <w:pPr>
              <w:pStyle w:val="12"/>
            </w:pPr>
            <w:r>
              <w:t>按照市内交通80元/人/天，伙食补助100元/人/天</w:t>
            </w:r>
          </w:p>
        </w:tc>
        <w:tc>
          <w:tcPr>
            <w:tcW w:w="2268" w:type="dxa"/>
            <w:vAlign w:val="center"/>
          </w:tcPr>
          <w:p>
            <w:pPr>
              <w:pStyle w:val="12"/>
            </w:pPr>
            <w:r>
              <w:t>≤180元/天/人</w:t>
            </w:r>
          </w:p>
        </w:tc>
        <w:tc>
          <w:tcPr>
            <w:tcW w:w="1276" w:type="dxa"/>
            <w:vAlign w:val="center"/>
          </w:tcPr>
          <w:p>
            <w:pPr>
              <w:pStyle w:val="12"/>
            </w:pPr>
            <w:r>
              <w:t>按照市内交通80元/人/天，伙食补助100元/人/天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巡察发现问题整改率</w:t>
            </w:r>
          </w:p>
        </w:tc>
        <w:tc>
          <w:tcPr>
            <w:tcW w:w="5386" w:type="dxa"/>
            <w:vAlign w:val="center"/>
          </w:tcPr>
          <w:p>
            <w:pPr>
              <w:pStyle w:val="12"/>
            </w:pPr>
            <w:r>
              <w:t>整改的问题占发现问题总数的比例</w:t>
            </w:r>
          </w:p>
        </w:tc>
        <w:tc>
          <w:tcPr>
            <w:tcW w:w="2268" w:type="dxa"/>
            <w:vAlign w:val="center"/>
          </w:tcPr>
          <w:p>
            <w:pPr>
              <w:pStyle w:val="12"/>
            </w:pPr>
            <w:r>
              <w:t>≥85%</w:t>
            </w:r>
          </w:p>
        </w:tc>
        <w:tc>
          <w:tcPr>
            <w:tcW w:w="1276" w:type="dxa"/>
            <w:vAlign w:val="center"/>
          </w:tcPr>
          <w:p>
            <w:pPr>
              <w:pStyle w:val="12"/>
            </w:pPr>
            <w:r>
              <w:t>整改的问题占发现问题总数的比例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增强影响力</w:t>
            </w:r>
          </w:p>
        </w:tc>
        <w:tc>
          <w:tcPr>
            <w:tcW w:w="5386" w:type="dxa"/>
            <w:vAlign w:val="center"/>
          </w:tcPr>
          <w:p>
            <w:pPr>
              <w:pStyle w:val="12"/>
            </w:pPr>
            <w:r>
              <w:t>通过巡察工作进一步维护社会稳定</w:t>
            </w:r>
          </w:p>
        </w:tc>
        <w:tc>
          <w:tcPr>
            <w:tcW w:w="2268" w:type="dxa"/>
            <w:vAlign w:val="center"/>
          </w:tcPr>
          <w:p>
            <w:pPr>
              <w:pStyle w:val="12"/>
            </w:pPr>
            <w:r>
              <w:t>通过巡察工作进一步维护社会稳定</w:t>
            </w:r>
          </w:p>
          <w:p>
            <w:pPr>
              <w:pStyle w:val="12"/>
            </w:pPr>
          </w:p>
        </w:tc>
        <w:tc>
          <w:tcPr>
            <w:tcW w:w="1276" w:type="dxa"/>
            <w:vAlign w:val="center"/>
          </w:tcPr>
          <w:p>
            <w:pPr>
              <w:pStyle w:val="12"/>
            </w:pPr>
            <w:r>
              <w:t>通过巡察工作进一步维护社会稳定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群众对巡察工作的整体满意度</w:t>
            </w:r>
          </w:p>
        </w:tc>
        <w:tc>
          <w:tcPr>
            <w:tcW w:w="2268" w:type="dxa"/>
            <w:vAlign w:val="center"/>
          </w:tcPr>
          <w:p>
            <w:pPr>
              <w:pStyle w:val="12"/>
            </w:pPr>
            <w:r>
              <w:t>≥90%</w:t>
            </w:r>
          </w:p>
        </w:tc>
        <w:tc>
          <w:tcPr>
            <w:tcW w:w="1276" w:type="dxa"/>
            <w:vAlign w:val="center"/>
          </w:tcPr>
          <w:p>
            <w:pPr>
              <w:pStyle w:val="12"/>
            </w:pPr>
            <w:r>
              <w:t>群众对巡察工作的整体满意度</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5" w:name="_Toc_3_3_0000000017"/>
      <w:r>
        <w:rPr>
          <w:rFonts w:hint="eastAsia" w:ascii="黑体" w:hAnsi="黑体" w:eastAsia="黑体" w:cs="黑体"/>
          <w:color w:val="000000"/>
          <w:sz w:val="32"/>
          <w:lang w:eastAsia="zh-CN"/>
        </w:rPr>
        <w:t>七</w:t>
      </w:r>
      <w:r>
        <w:rPr>
          <w:rFonts w:ascii="黑体" w:hAnsi="黑体" w:eastAsia="黑体" w:cs="黑体"/>
          <w:color w:val="000000"/>
          <w:sz w:val="32"/>
        </w:rPr>
        <w:t>、政府采购预算情况</w:t>
      </w:r>
      <w:bookmarkEnd w:id="15"/>
    </w:p>
    <w:p>
      <w:pPr>
        <w:jc w:val="center"/>
      </w:pPr>
      <w:r>
        <w:rPr>
          <w:rFonts w:ascii="方正小标宋_GBK" w:hAnsi="方正小标宋_GBK" w:eastAsia="方正小标宋_GBK" w:cs="方正小标宋_GBK"/>
          <w:color w:val="000000"/>
          <w:sz w:val="36"/>
        </w:rPr>
        <w:t>部门政府采购预算</w:t>
      </w:r>
    </w:p>
    <w:tbl>
      <w:tblPr>
        <w:tblStyle w:val="4"/>
        <w:tblW w:w="150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222中国共产党衡水市冀州区纪律检查委员会</w:t>
            </w:r>
          </w:p>
        </w:tc>
        <w:tc>
          <w:tcPr>
            <w:tcW w:w="7712" w:type="dxa"/>
            <w:gridSpan w:val="8"/>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112.04</w:t>
            </w:r>
          </w:p>
        </w:tc>
        <w:tc>
          <w:tcPr>
            <w:tcW w:w="964" w:type="dxa"/>
            <w:vAlign w:val="center"/>
          </w:tcPr>
          <w:p>
            <w:pPr>
              <w:pStyle w:val="15"/>
            </w:pPr>
            <w:r>
              <w:t>112.04</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112.04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中国共产党衡水市冀州区纪律检查委员会本级小计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112.04</w:t>
            </w:r>
          </w:p>
        </w:tc>
        <w:tc>
          <w:tcPr>
            <w:tcW w:w="964" w:type="dxa"/>
            <w:vAlign w:val="center"/>
          </w:tcPr>
          <w:p>
            <w:pPr>
              <w:pStyle w:val="15"/>
            </w:pPr>
            <w:r>
              <w:t>112.04</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112.04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（衡财行[2023]49号）提前下达2024年中央政法纪检监察转移支付资金</w:t>
            </w:r>
          </w:p>
        </w:tc>
        <w:tc>
          <w:tcPr>
            <w:tcW w:w="964" w:type="dxa"/>
            <w:vAlign w:val="center"/>
          </w:tcPr>
          <w:p>
            <w:pPr>
              <w:pStyle w:val="11"/>
            </w:pPr>
            <w:r>
              <w:t>10.00</w:t>
            </w:r>
          </w:p>
        </w:tc>
        <w:tc>
          <w:tcPr>
            <w:tcW w:w="1134" w:type="dxa"/>
            <w:vAlign w:val="center"/>
          </w:tcPr>
          <w:p>
            <w:pPr>
              <w:pStyle w:val="12"/>
            </w:pPr>
            <w:r>
              <w:t>便携式计算机</w:t>
            </w:r>
          </w:p>
        </w:tc>
        <w:tc>
          <w:tcPr>
            <w:tcW w:w="1134" w:type="dxa"/>
            <w:vAlign w:val="center"/>
          </w:tcPr>
          <w:p>
            <w:pPr>
              <w:pStyle w:val="12"/>
            </w:pPr>
            <w:r>
              <w:t>A02010108</w:t>
            </w:r>
          </w:p>
        </w:tc>
        <w:tc>
          <w:tcPr>
            <w:tcW w:w="709" w:type="dxa"/>
            <w:vAlign w:val="center"/>
          </w:tcPr>
          <w:p>
            <w:pPr>
              <w:pStyle w:val="13"/>
            </w:pPr>
            <w:r>
              <w:t>台</w:t>
            </w:r>
          </w:p>
        </w:tc>
        <w:tc>
          <w:tcPr>
            <w:tcW w:w="850" w:type="dxa"/>
            <w:vAlign w:val="center"/>
          </w:tcPr>
          <w:p>
            <w:pPr>
              <w:pStyle w:val="11"/>
            </w:pPr>
            <w:r>
              <w:t>16</w:t>
            </w:r>
          </w:p>
        </w:tc>
        <w:tc>
          <w:tcPr>
            <w:tcW w:w="850" w:type="dxa"/>
            <w:vAlign w:val="center"/>
          </w:tcPr>
          <w:p>
            <w:pPr>
              <w:pStyle w:val="11"/>
            </w:pPr>
            <w:r>
              <w:t>0.52</w:t>
            </w:r>
          </w:p>
        </w:tc>
        <w:tc>
          <w:tcPr>
            <w:tcW w:w="964" w:type="dxa"/>
            <w:vAlign w:val="center"/>
          </w:tcPr>
          <w:p>
            <w:pPr>
              <w:pStyle w:val="11"/>
            </w:pPr>
            <w:r>
              <w:t>8.32</w:t>
            </w:r>
          </w:p>
        </w:tc>
        <w:tc>
          <w:tcPr>
            <w:tcW w:w="964" w:type="dxa"/>
            <w:vAlign w:val="center"/>
          </w:tcPr>
          <w:p>
            <w:pPr>
              <w:pStyle w:val="11"/>
            </w:pPr>
            <w:r>
              <w:t>8.32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8.32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（衡财行[2023]49号）提前下达2024年中央政法纪检监察转移支付资金</w:t>
            </w:r>
          </w:p>
        </w:tc>
        <w:tc>
          <w:tcPr>
            <w:tcW w:w="964" w:type="dxa"/>
            <w:vAlign w:val="center"/>
          </w:tcPr>
          <w:p>
            <w:pPr>
              <w:pStyle w:val="11"/>
            </w:pPr>
            <w:r>
              <w:t>10.00</w:t>
            </w:r>
          </w:p>
        </w:tc>
        <w:tc>
          <w:tcPr>
            <w:tcW w:w="1134" w:type="dxa"/>
            <w:vAlign w:val="center"/>
          </w:tcPr>
          <w:p>
            <w:pPr>
              <w:pStyle w:val="12"/>
            </w:pPr>
            <w:r>
              <w:t>其他电源设备</w:t>
            </w:r>
          </w:p>
        </w:tc>
        <w:tc>
          <w:tcPr>
            <w:tcW w:w="1134" w:type="dxa"/>
            <w:vAlign w:val="center"/>
          </w:tcPr>
          <w:p>
            <w:pPr>
              <w:pStyle w:val="12"/>
            </w:pPr>
            <w:r>
              <w:t>A02061599</w:t>
            </w:r>
          </w:p>
        </w:tc>
        <w:tc>
          <w:tcPr>
            <w:tcW w:w="709" w:type="dxa"/>
            <w:vAlign w:val="center"/>
          </w:tcPr>
          <w:p>
            <w:pPr>
              <w:pStyle w:val="13"/>
            </w:pPr>
            <w:r>
              <w:t>套</w:t>
            </w:r>
          </w:p>
        </w:tc>
        <w:tc>
          <w:tcPr>
            <w:tcW w:w="850" w:type="dxa"/>
            <w:vAlign w:val="center"/>
          </w:tcPr>
          <w:p>
            <w:pPr>
              <w:pStyle w:val="11"/>
            </w:pPr>
            <w:r>
              <w:t>1</w:t>
            </w:r>
          </w:p>
        </w:tc>
        <w:tc>
          <w:tcPr>
            <w:tcW w:w="850" w:type="dxa"/>
            <w:vAlign w:val="center"/>
          </w:tcPr>
          <w:p>
            <w:pPr>
              <w:pStyle w:val="11"/>
            </w:pPr>
            <w:r>
              <w:t>0.42</w:t>
            </w:r>
          </w:p>
        </w:tc>
        <w:tc>
          <w:tcPr>
            <w:tcW w:w="964" w:type="dxa"/>
            <w:vAlign w:val="center"/>
          </w:tcPr>
          <w:p>
            <w:pPr>
              <w:pStyle w:val="11"/>
            </w:pPr>
            <w:r>
              <w:t>0.42</w:t>
            </w:r>
          </w:p>
        </w:tc>
        <w:tc>
          <w:tcPr>
            <w:tcW w:w="964" w:type="dxa"/>
            <w:vAlign w:val="center"/>
          </w:tcPr>
          <w:p>
            <w:pPr>
              <w:pStyle w:val="11"/>
            </w:pPr>
            <w:r>
              <w:t>0.42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安可计算机终端替代工程</w:t>
            </w:r>
          </w:p>
        </w:tc>
        <w:tc>
          <w:tcPr>
            <w:tcW w:w="964" w:type="dxa"/>
            <w:vAlign w:val="center"/>
          </w:tcPr>
          <w:p>
            <w:pPr>
              <w:pStyle w:val="11"/>
            </w:pPr>
            <w:r>
              <w:t>48.00</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台</w:t>
            </w:r>
          </w:p>
        </w:tc>
        <w:tc>
          <w:tcPr>
            <w:tcW w:w="850" w:type="dxa"/>
            <w:vAlign w:val="center"/>
          </w:tcPr>
          <w:p>
            <w:pPr>
              <w:pStyle w:val="11"/>
            </w:pPr>
            <w:r>
              <w:t>30</w:t>
            </w:r>
          </w:p>
        </w:tc>
        <w:tc>
          <w:tcPr>
            <w:tcW w:w="850" w:type="dxa"/>
            <w:vAlign w:val="center"/>
          </w:tcPr>
          <w:p>
            <w:pPr>
              <w:pStyle w:val="11"/>
            </w:pPr>
            <w:r>
              <w:t>1.10</w:t>
            </w:r>
          </w:p>
        </w:tc>
        <w:tc>
          <w:tcPr>
            <w:tcW w:w="964" w:type="dxa"/>
            <w:vAlign w:val="center"/>
          </w:tcPr>
          <w:p>
            <w:pPr>
              <w:pStyle w:val="11"/>
            </w:pPr>
            <w:r>
              <w:t>33.00</w:t>
            </w:r>
          </w:p>
        </w:tc>
        <w:tc>
          <w:tcPr>
            <w:tcW w:w="964" w:type="dxa"/>
            <w:vAlign w:val="center"/>
          </w:tcPr>
          <w:p>
            <w:pPr>
              <w:pStyle w:val="11"/>
            </w:pPr>
            <w:r>
              <w:t>33.00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安可计算机终端替代工程</w:t>
            </w:r>
          </w:p>
        </w:tc>
        <w:tc>
          <w:tcPr>
            <w:tcW w:w="964" w:type="dxa"/>
            <w:vAlign w:val="center"/>
          </w:tcPr>
          <w:p>
            <w:pPr>
              <w:pStyle w:val="11"/>
            </w:pPr>
            <w:r>
              <w:t>48.00</w:t>
            </w:r>
          </w:p>
        </w:tc>
        <w:tc>
          <w:tcPr>
            <w:tcW w:w="1134" w:type="dxa"/>
            <w:vAlign w:val="center"/>
          </w:tcPr>
          <w:p>
            <w:pPr>
              <w:pStyle w:val="12"/>
            </w:pPr>
            <w:r>
              <w:t>A4 黑白打印机</w:t>
            </w:r>
          </w:p>
        </w:tc>
        <w:tc>
          <w:tcPr>
            <w:tcW w:w="1134" w:type="dxa"/>
            <w:vAlign w:val="center"/>
          </w:tcPr>
          <w:p>
            <w:pPr>
              <w:pStyle w:val="12"/>
            </w:pPr>
            <w:r>
              <w:t>A02021003</w:t>
            </w:r>
          </w:p>
        </w:tc>
        <w:tc>
          <w:tcPr>
            <w:tcW w:w="709" w:type="dxa"/>
            <w:vAlign w:val="center"/>
          </w:tcPr>
          <w:p>
            <w:pPr>
              <w:pStyle w:val="13"/>
            </w:pPr>
            <w:r>
              <w:t>台</w:t>
            </w:r>
          </w:p>
        </w:tc>
        <w:tc>
          <w:tcPr>
            <w:tcW w:w="850" w:type="dxa"/>
            <w:vAlign w:val="center"/>
          </w:tcPr>
          <w:p>
            <w:pPr>
              <w:pStyle w:val="11"/>
            </w:pPr>
            <w:r>
              <w:t>30</w:t>
            </w:r>
          </w:p>
        </w:tc>
        <w:tc>
          <w:tcPr>
            <w:tcW w:w="850" w:type="dxa"/>
            <w:vAlign w:val="center"/>
          </w:tcPr>
          <w:p>
            <w:pPr>
              <w:pStyle w:val="11"/>
            </w:pPr>
            <w:r>
              <w:t>0.45</w:t>
            </w:r>
          </w:p>
        </w:tc>
        <w:tc>
          <w:tcPr>
            <w:tcW w:w="964" w:type="dxa"/>
            <w:vAlign w:val="center"/>
          </w:tcPr>
          <w:p>
            <w:pPr>
              <w:pStyle w:val="11"/>
            </w:pPr>
            <w:r>
              <w:t>13.50</w:t>
            </w:r>
          </w:p>
        </w:tc>
        <w:tc>
          <w:tcPr>
            <w:tcW w:w="964" w:type="dxa"/>
            <w:vAlign w:val="center"/>
          </w:tcPr>
          <w:p>
            <w:pPr>
              <w:pStyle w:val="11"/>
            </w:pPr>
            <w:r>
              <w:t>13.50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安可计算机终端替代工程</w:t>
            </w:r>
          </w:p>
        </w:tc>
        <w:tc>
          <w:tcPr>
            <w:tcW w:w="964" w:type="dxa"/>
            <w:vAlign w:val="center"/>
          </w:tcPr>
          <w:p>
            <w:pPr>
              <w:pStyle w:val="11"/>
            </w:pPr>
            <w:r>
              <w:t>48.00</w:t>
            </w:r>
          </w:p>
        </w:tc>
        <w:tc>
          <w:tcPr>
            <w:tcW w:w="1134" w:type="dxa"/>
            <w:vAlign w:val="center"/>
          </w:tcPr>
          <w:p>
            <w:pPr>
              <w:pStyle w:val="12"/>
            </w:pPr>
            <w:r>
              <w:t>A4 彩色打印机</w:t>
            </w:r>
          </w:p>
        </w:tc>
        <w:tc>
          <w:tcPr>
            <w:tcW w:w="1134" w:type="dxa"/>
            <w:vAlign w:val="center"/>
          </w:tcPr>
          <w:p>
            <w:pPr>
              <w:pStyle w:val="12"/>
            </w:pPr>
            <w:r>
              <w:t>A02021004</w:t>
            </w:r>
          </w:p>
        </w:tc>
        <w:tc>
          <w:tcPr>
            <w:tcW w:w="709" w:type="dxa"/>
            <w:vAlign w:val="center"/>
          </w:tcPr>
          <w:p>
            <w:pPr>
              <w:pStyle w:val="13"/>
            </w:pPr>
            <w:r>
              <w:t>台</w:t>
            </w:r>
          </w:p>
        </w:tc>
        <w:tc>
          <w:tcPr>
            <w:tcW w:w="850" w:type="dxa"/>
            <w:vAlign w:val="center"/>
          </w:tcPr>
          <w:p>
            <w:pPr>
              <w:pStyle w:val="11"/>
            </w:pPr>
            <w:r>
              <w:t>2</w:t>
            </w:r>
          </w:p>
        </w:tc>
        <w:tc>
          <w:tcPr>
            <w:tcW w:w="850" w:type="dxa"/>
            <w:vAlign w:val="center"/>
          </w:tcPr>
          <w:p>
            <w:pPr>
              <w:pStyle w:val="11"/>
            </w:pPr>
            <w:r>
              <w:t>0.50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安可计算机终端替代工程</w:t>
            </w:r>
          </w:p>
        </w:tc>
        <w:tc>
          <w:tcPr>
            <w:tcW w:w="964" w:type="dxa"/>
            <w:vAlign w:val="center"/>
          </w:tcPr>
          <w:p>
            <w:pPr>
              <w:pStyle w:val="11"/>
            </w:pPr>
            <w:r>
              <w:t>48.00</w:t>
            </w:r>
          </w:p>
        </w:tc>
        <w:tc>
          <w:tcPr>
            <w:tcW w:w="1134" w:type="dxa"/>
            <w:vAlign w:val="center"/>
          </w:tcPr>
          <w:p>
            <w:pPr>
              <w:pStyle w:val="12"/>
            </w:pPr>
            <w:r>
              <w:t>扫描仪</w:t>
            </w:r>
          </w:p>
        </w:tc>
        <w:tc>
          <w:tcPr>
            <w:tcW w:w="1134" w:type="dxa"/>
            <w:vAlign w:val="center"/>
          </w:tcPr>
          <w:p>
            <w:pPr>
              <w:pStyle w:val="12"/>
            </w:pPr>
            <w:r>
              <w:t>A02021118</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0.50</w:t>
            </w:r>
          </w:p>
        </w:tc>
        <w:tc>
          <w:tcPr>
            <w:tcW w:w="964" w:type="dxa"/>
            <w:vAlign w:val="center"/>
          </w:tcPr>
          <w:p>
            <w:pPr>
              <w:pStyle w:val="11"/>
            </w:pPr>
            <w:r>
              <w:t>0.50</w:t>
            </w:r>
          </w:p>
        </w:tc>
        <w:tc>
          <w:tcPr>
            <w:tcW w:w="964" w:type="dxa"/>
            <w:vAlign w:val="center"/>
          </w:tcPr>
          <w:p>
            <w:pPr>
              <w:pStyle w:val="11"/>
            </w:pPr>
            <w:r>
              <w:t>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办案一体化工作平台建设</w:t>
            </w:r>
          </w:p>
        </w:tc>
        <w:tc>
          <w:tcPr>
            <w:tcW w:w="964" w:type="dxa"/>
            <w:vAlign w:val="center"/>
          </w:tcPr>
          <w:p>
            <w:pPr>
              <w:pStyle w:val="11"/>
            </w:pPr>
            <w:r>
              <w:t>50.00</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台</w:t>
            </w:r>
          </w:p>
        </w:tc>
        <w:tc>
          <w:tcPr>
            <w:tcW w:w="850" w:type="dxa"/>
            <w:vAlign w:val="center"/>
          </w:tcPr>
          <w:p>
            <w:pPr>
              <w:pStyle w:val="11"/>
            </w:pPr>
            <w:r>
              <w:t>35</w:t>
            </w:r>
          </w:p>
        </w:tc>
        <w:tc>
          <w:tcPr>
            <w:tcW w:w="850" w:type="dxa"/>
            <w:vAlign w:val="center"/>
          </w:tcPr>
          <w:p>
            <w:pPr>
              <w:pStyle w:val="11"/>
            </w:pPr>
            <w:r>
              <w:t>1.00</w:t>
            </w:r>
          </w:p>
        </w:tc>
        <w:tc>
          <w:tcPr>
            <w:tcW w:w="964" w:type="dxa"/>
            <w:vAlign w:val="center"/>
          </w:tcPr>
          <w:p>
            <w:pPr>
              <w:pStyle w:val="11"/>
            </w:pPr>
            <w:r>
              <w:t>35.00</w:t>
            </w:r>
          </w:p>
        </w:tc>
        <w:tc>
          <w:tcPr>
            <w:tcW w:w="964" w:type="dxa"/>
            <w:vAlign w:val="center"/>
          </w:tcPr>
          <w:p>
            <w:pPr>
              <w:pStyle w:val="11"/>
            </w:pPr>
            <w:r>
              <w:t>35.00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办案一体化工作平台建设</w:t>
            </w:r>
          </w:p>
        </w:tc>
        <w:tc>
          <w:tcPr>
            <w:tcW w:w="964" w:type="dxa"/>
            <w:vAlign w:val="center"/>
          </w:tcPr>
          <w:p>
            <w:pPr>
              <w:pStyle w:val="11"/>
            </w:pPr>
            <w:r>
              <w:t>50.00</w:t>
            </w:r>
          </w:p>
        </w:tc>
        <w:tc>
          <w:tcPr>
            <w:tcW w:w="1134" w:type="dxa"/>
            <w:vAlign w:val="center"/>
          </w:tcPr>
          <w:p>
            <w:pPr>
              <w:pStyle w:val="12"/>
            </w:pPr>
            <w:r>
              <w:t>其他打印机</w:t>
            </w:r>
          </w:p>
        </w:tc>
        <w:tc>
          <w:tcPr>
            <w:tcW w:w="1134" w:type="dxa"/>
            <w:vAlign w:val="center"/>
          </w:tcPr>
          <w:p>
            <w:pPr>
              <w:pStyle w:val="12"/>
            </w:pPr>
            <w:r>
              <w:t>A02021099</w:t>
            </w:r>
          </w:p>
        </w:tc>
        <w:tc>
          <w:tcPr>
            <w:tcW w:w="709" w:type="dxa"/>
            <w:vAlign w:val="center"/>
          </w:tcPr>
          <w:p>
            <w:pPr>
              <w:pStyle w:val="13"/>
            </w:pPr>
            <w:r>
              <w:t>台</w:t>
            </w:r>
          </w:p>
        </w:tc>
        <w:tc>
          <w:tcPr>
            <w:tcW w:w="850" w:type="dxa"/>
            <w:vAlign w:val="center"/>
          </w:tcPr>
          <w:p>
            <w:pPr>
              <w:pStyle w:val="11"/>
            </w:pPr>
            <w:r>
              <w:t>20</w:t>
            </w:r>
          </w:p>
        </w:tc>
        <w:tc>
          <w:tcPr>
            <w:tcW w:w="850" w:type="dxa"/>
            <w:vAlign w:val="center"/>
          </w:tcPr>
          <w:p>
            <w:pPr>
              <w:pStyle w:val="11"/>
            </w:pPr>
            <w:r>
              <w:t>0.50</w:t>
            </w:r>
          </w:p>
        </w:tc>
        <w:tc>
          <w:tcPr>
            <w:tcW w:w="964" w:type="dxa"/>
            <w:vAlign w:val="center"/>
          </w:tcPr>
          <w:p>
            <w:pPr>
              <w:pStyle w:val="11"/>
            </w:pPr>
            <w:r>
              <w:t>10.00</w:t>
            </w:r>
          </w:p>
        </w:tc>
        <w:tc>
          <w:tcPr>
            <w:tcW w:w="964" w:type="dxa"/>
            <w:vAlign w:val="center"/>
          </w:tcPr>
          <w:p>
            <w:pPr>
              <w:pStyle w:val="11"/>
            </w:pPr>
            <w:r>
              <w:t>10.00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办案一体化工作平台建设</w:t>
            </w:r>
          </w:p>
        </w:tc>
        <w:tc>
          <w:tcPr>
            <w:tcW w:w="964" w:type="dxa"/>
            <w:vAlign w:val="center"/>
          </w:tcPr>
          <w:p>
            <w:pPr>
              <w:pStyle w:val="11"/>
            </w:pPr>
            <w:r>
              <w:t>50.00</w:t>
            </w:r>
          </w:p>
        </w:tc>
        <w:tc>
          <w:tcPr>
            <w:tcW w:w="1134" w:type="dxa"/>
            <w:vAlign w:val="center"/>
          </w:tcPr>
          <w:p>
            <w:pPr>
              <w:pStyle w:val="12"/>
            </w:pPr>
            <w:r>
              <w:t>扫描仪</w:t>
            </w:r>
          </w:p>
        </w:tc>
        <w:tc>
          <w:tcPr>
            <w:tcW w:w="1134" w:type="dxa"/>
            <w:vAlign w:val="center"/>
          </w:tcPr>
          <w:p>
            <w:pPr>
              <w:pStyle w:val="12"/>
            </w:pPr>
            <w:r>
              <w:t>A02021118</w:t>
            </w:r>
          </w:p>
        </w:tc>
        <w:tc>
          <w:tcPr>
            <w:tcW w:w="709" w:type="dxa"/>
            <w:vAlign w:val="center"/>
          </w:tcPr>
          <w:p>
            <w:pPr>
              <w:pStyle w:val="13"/>
            </w:pPr>
            <w:r>
              <w:t>台</w:t>
            </w:r>
          </w:p>
        </w:tc>
        <w:tc>
          <w:tcPr>
            <w:tcW w:w="850" w:type="dxa"/>
            <w:vAlign w:val="center"/>
          </w:tcPr>
          <w:p>
            <w:pPr>
              <w:pStyle w:val="11"/>
            </w:pPr>
            <w:r>
              <w:t>10</w:t>
            </w:r>
          </w:p>
        </w:tc>
        <w:tc>
          <w:tcPr>
            <w:tcW w:w="850" w:type="dxa"/>
            <w:vAlign w:val="center"/>
          </w:tcPr>
          <w:p>
            <w:pPr>
              <w:pStyle w:val="11"/>
            </w:pPr>
            <w:r>
              <w:t>0.50</w:t>
            </w:r>
          </w:p>
        </w:tc>
        <w:tc>
          <w:tcPr>
            <w:tcW w:w="964" w:type="dxa"/>
            <w:vAlign w:val="center"/>
          </w:tcPr>
          <w:p>
            <w:pPr>
              <w:pStyle w:val="11"/>
            </w:pPr>
            <w:r>
              <w:t>5.00</w:t>
            </w:r>
          </w:p>
        </w:tc>
        <w:tc>
          <w:tcPr>
            <w:tcW w:w="964" w:type="dxa"/>
            <w:vAlign w:val="center"/>
          </w:tcPr>
          <w:p>
            <w:pPr>
              <w:pStyle w:val="11"/>
            </w:pPr>
            <w:r>
              <w:t>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巡察工作专项经费</w:t>
            </w:r>
          </w:p>
        </w:tc>
        <w:tc>
          <w:tcPr>
            <w:tcW w:w="964" w:type="dxa"/>
            <w:vAlign w:val="center"/>
          </w:tcPr>
          <w:p>
            <w:pPr>
              <w:pStyle w:val="11"/>
            </w:pPr>
            <w:r>
              <w:t>50.00</w:t>
            </w:r>
          </w:p>
        </w:tc>
        <w:tc>
          <w:tcPr>
            <w:tcW w:w="1134" w:type="dxa"/>
            <w:vAlign w:val="center"/>
          </w:tcPr>
          <w:p>
            <w:pPr>
              <w:pStyle w:val="12"/>
            </w:pPr>
            <w:r>
              <w:t>空调机</w:t>
            </w:r>
          </w:p>
        </w:tc>
        <w:tc>
          <w:tcPr>
            <w:tcW w:w="1134" w:type="dxa"/>
            <w:vAlign w:val="center"/>
          </w:tcPr>
          <w:p>
            <w:pPr>
              <w:pStyle w:val="12"/>
            </w:pPr>
            <w:r>
              <w:t>A02061804</w:t>
            </w:r>
          </w:p>
        </w:tc>
        <w:tc>
          <w:tcPr>
            <w:tcW w:w="709" w:type="dxa"/>
            <w:vAlign w:val="center"/>
          </w:tcPr>
          <w:p>
            <w:pPr>
              <w:pStyle w:val="13"/>
            </w:pPr>
            <w:r>
              <w:t>台</w:t>
            </w:r>
          </w:p>
        </w:tc>
        <w:tc>
          <w:tcPr>
            <w:tcW w:w="850" w:type="dxa"/>
            <w:vAlign w:val="center"/>
          </w:tcPr>
          <w:p>
            <w:pPr>
              <w:pStyle w:val="11"/>
            </w:pPr>
            <w:r>
              <w:t>8</w:t>
            </w:r>
          </w:p>
        </w:tc>
        <w:tc>
          <w:tcPr>
            <w:tcW w:w="850" w:type="dxa"/>
            <w:vAlign w:val="center"/>
          </w:tcPr>
          <w:p>
            <w:pPr>
              <w:pStyle w:val="11"/>
            </w:pPr>
            <w:r>
              <w:t>0.30</w:t>
            </w:r>
          </w:p>
        </w:tc>
        <w:tc>
          <w:tcPr>
            <w:tcW w:w="964" w:type="dxa"/>
            <w:vAlign w:val="center"/>
          </w:tcPr>
          <w:p>
            <w:pPr>
              <w:pStyle w:val="11"/>
            </w:pPr>
            <w:r>
              <w:t>2.40</w:t>
            </w:r>
          </w:p>
        </w:tc>
        <w:tc>
          <w:tcPr>
            <w:tcW w:w="964" w:type="dxa"/>
            <w:vAlign w:val="center"/>
          </w:tcPr>
          <w:p>
            <w:pPr>
              <w:pStyle w:val="11"/>
            </w:pPr>
            <w:r>
              <w:t>2.40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巡察工作专项经费</w:t>
            </w:r>
          </w:p>
        </w:tc>
        <w:tc>
          <w:tcPr>
            <w:tcW w:w="964" w:type="dxa"/>
            <w:vAlign w:val="center"/>
          </w:tcPr>
          <w:p>
            <w:pPr>
              <w:pStyle w:val="11"/>
            </w:pPr>
            <w:r>
              <w:t>50.00</w:t>
            </w:r>
          </w:p>
        </w:tc>
        <w:tc>
          <w:tcPr>
            <w:tcW w:w="1134" w:type="dxa"/>
            <w:vAlign w:val="center"/>
          </w:tcPr>
          <w:p>
            <w:pPr>
              <w:pStyle w:val="12"/>
            </w:pPr>
            <w:r>
              <w:t>办公桌</w:t>
            </w:r>
          </w:p>
        </w:tc>
        <w:tc>
          <w:tcPr>
            <w:tcW w:w="1134" w:type="dxa"/>
            <w:vAlign w:val="center"/>
          </w:tcPr>
          <w:p>
            <w:pPr>
              <w:pStyle w:val="12"/>
            </w:pPr>
            <w:r>
              <w:t>A05010201</w:t>
            </w:r>
          </w:p>
        </w:tc>
        <w:tc>
          <w:tcPr>
            <w:tcW w:w="709" w:type="dxa"/>
            <w:vAlign w:val="center"/>
          </w:tcPr>
          <w:p>
            <w:pPr>
              <w:pStyle w:val="13"/>
            </w:pPr>
            <w:r>
              <w:t>张</w:t>
            </w:r>
          </w:p>
        </w:tc>
        <w:tc>
          <w:tcPr>
            <w:tcW w:w="850" w:type="dxa"/>
            <w:vAlign w:val="center"/>
          </w:tcPr>
          <w:p>
            <w:pPr>
              <w:pStyle w:val="11"/>
            </w:pPr>
            <w:r>
              <w:t>10</w:t>
            </w:r>
          </w:p>
        </w:tc>
        <w:tc>
          <w:tcPr>
            <w:tcW w:w="850" w:type="dxa"/>
            <w:vAlign w:val="center"/>
          </w:tcPr>
          <w:p>
            <w:pPr>
              <w:pStyle w:val="11"/>
            </w:pPr>
            <w:r>
              <w:t>0.10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巡察工作专项经费</w:t>
            </w:r>
          </w:p>
        </w:tc>
        <w:tc>
          <w:tcPr>
            <w:tcW w:w="964" w:type="dxa"/>
            <w:vAlign w:val="center"/>
          </w:tcPr>
          <w:p>
            <w:pPr>
              <w:pStyle w:val="11"/>
            </w:pPr>
            <w:r>
              <w:t>50.00</w:t>
            </w:r>
          </w:p>
        </w:tc>
        <w:tc>
          <w:tcPr>
            <w:tcW w:w="1134" w:type="dxa"/>
            <w:vAlign w:val="center"/>
          </w:tcPr>
          <w:p>
            <w:pPr>
              <w:pStyle w:val="12"/>
            </w:pPr>
            <w:r>
              <w:t>办公椅</w:t>
            </w:r>
          </w:p>
        </w:tc>
        <w:tc>
          <w:tcPr>
            <w:tcW w:w="1134" w:type="dxa"/>
            <w:vAlign w:val="center"/>
          </w:tcPr>
          <w:p>
            <w:pPr>
              <w:pStyle w:val="12"/>
            </w:pPr>
            <w:r>
              <w:t>A05010301</w:t>
            </w:r>
          </w:p>
        </w:tc>
        <w:tc>
          <w:tcPr>
            <w:tcW w:w="709" w:type="dxa"/>
            <w:vAlign w:val="center"/>
          </w:tcPr>
          <w:p>
            <w:pPr>
              <w:pStyle w:val="13"/>
            </w:pPr>
            <w:r>
              <w:t>把</w:t>
            </w:r>
          </w:p>
        </w:tc>
        <w:tc>
          <w:tcPr>
            <w:tcW w:w="850" w:type="dxa"/>
            <w:vAlign w:val="center"/>
          </w:tcPr>
          <w:p>
            <w:pPr>
              <w:pStyle w:val="11"/>
            </w:pPr>
            <w:r>
              <w:t>10</w:t>
            </w:r>
          </w:p>
        </w:tc>
        <w:tc>
          <w:tcPr>
            <w:tcW w:w="850" w:type="dxa"/>
            <w:vAlign w:val="center"/>
          </w:tcPr>
          <w:p>
            <w:pPr>
              <w:pStyle w:val="11"/>
            </w:pPr>
            <w:r>
              <w:t>0.03</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巡察工作专项经费</w:t>
            </w:r>
          </w:p>
        </w:tc>
        <w:tc>
          <w:tcPr>
            <w:tcW w:w="964" w:type="dxa"/>
            <w:vAlign w:val="center"/>
          </w:tcPr>
          <w:p>
            <w:pPr>
              <w:pStyle w:val="11"/>
            </w:pPr>
            <w:r>
              <w:t>50.00</w:t>
            </w:r>
          </w:p>
        </w:tc>
        <w:tc>
          <w:tcPr>
            <w:tcW w:w="1134" w:type="dxa"/>
            <w:vAlign w:val="center"/>
          </w:tcPr>
          <w:p>
            <w:pPr>
              <w:pStyle w:val="12"/>
            </w:pPr>
            <w:r>
              <w:t>保密柜</w:t>
            </w:r>
          </w:p>
        </w:tc>
        <w:tc>
          <w:tcPr>
            <w:tcW w:w="1134" w:type="dxa"/>
            <w:vAlign w:val="center"/>
          </w:tcPr>
          <w:p>
            <w:pPr>
              <w:pStyle w:val="12"/>
            </w:pPr>
            <w:r>
              <w:t>A05010504</w:t>
            </w:r>
          </w:p>
        </w:tc>
        <w:tc>
          <w:tcPr>
            <w:tcW w:w="709" w:type="dxa"/>
            <w:vAlign w:val="center"/>
          </w:tcPr>
          <w:p>
            <w:pPr>
              <w:pStyle w:val="13"/>
            </w:pPr>
            <w:r>
              <w:t>个</w:t>
            </w:r>
          </w:p>
        </w:tc>
        <w:tc>
          <w:tcPr>
            <w:tcW w:w="850" w:type="dxa"/>
            <w:vAlign w:val="center"/>
          </w:tcPr>
          <w:p>
            <w:pPr>
              <w:pStyle w:val="11"/>
            </w:pPr>
            <w:r>
              <w:t>10</w:t>
            </w:r>
          </w:p>
        </w:tc>
        <w:tc>
          <w:tcPr>
            <w:tcW w:w="850" w:type="dxa"/>
            <w:vAlign w:val="center"/>
          </w:tcPr>
          <w:p>
            <w:pPr>
              <w:pStyle w:val="11"/>
            </w:pPr>
            <w:r>
              <w:t>0.16</w:t>
            </w:r>
          </w:p>
        </w:tc>
        <w:tc>
          <w:tcPr>
            <w:tcW w:w="964" w:type="dxa"/>
            <w:vAlign w:val="center"/>
          </w:tcPr>
          <w:p>
            <w:pPr>
              <w:pStyle w:val="11"/>
            </w:pPr>
            <w:r>
              <w:t>1.60</w:t>
            </w:r>
          </w:p>
        </w:tc>
        <w:tc>
          <w:tcPr>
            <w:tcW w:w="964" w:type="dxa"/>
            <w:vAlign w:val="center"/>
          </w:tcPr>
          <w:p>
            <w:pPr>
              <w:pStyle w:val="11"/>
            </w:pPr>
            <w:r>
              <w:t>1.60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1.60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2"/>
      </w:pPr>
      <w:bookmarkStart w:id="16" w:name="_Toc_3_3_0000000018"/>
      <w:r>
        <w:rPr>
          <w:rFonts w:hint="eastAsia" w:ascii="黑体" w:hAnsi="黑体" w:eastAsia="黑体" w:cs="黑体"/>
          <w:color w:val="000000"/>
          <w:sz w:val="32"/>
          <w:lang w:eastAsia="zh-CN"/>
        </w:rPr>
        <w:t>八</w:t>
      </w:r>
      <w:r>
        <w:rPr>
          <w:rFonts w:ascii="黑体" w:hAnsi="黑体" w:eastAsia="黑体" w:cs="黑体"/>
          <w:color w:val="000000"/>
          <w:sz w:val="32"/>
        </w:rPr>
        <w:t>、国有资产信息</w:t>
      </w:r>
      <w:bookmarkEnd w:id="16"/>
    </w:p>
    <w:p>
      <w:pPr>
        <w:spacing w:line="500" w:lineRule="exact"/>
        <w:ind w:firstLine="560"/>
      </w:pPr>
      <w:r>
        <w:rPr>
          <w:rFonts w:eastAsia="方正仿宋_GBK"/>
          <w:color w:val="000000"/>
          <w:sz w:val="28"/>
        </w:rPr>
        <w:t>中国共产党衡水市冀州区纪律检查委员会（含所属单位）上年末固定资产金额为793.69万元（详见下表）。本年度拟购置固定资产总额为0.00万元，已按要求列入政府采购预算，详见政府采购预算表。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222中国共产党衡水市冀州区纪律检查委员会</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793.69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12</w:t>
            </w:r>
          </w:p>
        </w:tc>
        <w:tc>
          <w:tcPr>
            <w:tcW w:w="2835" w:type="dxa"/>
            <w:vAlign w:val="center"/>
          </w:tcPr>
          <w:p>
            <w:pPr>
              <w:pStyle w:val="11"/>
            </w:pPr>
            <w:r>
              <w:t>198.53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2549</w:t>
            </w:r>
          </w:p>
        </w:tc>
        <w:tc>
          <w:tcPr>
            <w:tcW w:w="2835" w:type="dxa"/>
            <w:vAlign w:val="center"/>
          </w:tcPr>
          <w:p>
            <w:pPr>
              <w:pStyle w:val="11"/>
            </w:pPr>
            <w:r>
              <w:t>595.16</w:t>
            </w:r>
          </w:p>
        </w:tc>
      </w:tr>
    </w:tbl>
    <w:p>
      <w:pPr>
        <w:ind w:firstLine="640"/>
      </w:pPr>
    </w:p>
    <w:p>
      <w:pPr>
        <w:spacing w:before="10" w:after="10"/>
        <w:ind w:firstLine="640"/>
        <w:outlineLvl w:val="2"/>
      </w:pPr>
      <w:bookmarkStart w:id="17" w:name="_Toc_3_3_0000000019"/>
      <w:r>
        <w:rPr>
          <w:rFonts w:hint="eastAsia" w:ascii="黑体" w:hAnsi="黑体" w:eastAsia="黑体" w:cs="黑体"/>
          <w:color w:val="000000"/>
          <w:sz w:val="32"/>
          <w:lang w:eastAsia="zh-CN"/>
        </w:rPr>
        <w:t>九</w:t>
      </w:r>
      <w:r>
        <w:rPr>
          <w:rFonts w:ascii="黑体" w:hAnsi="黑体" w:eastAsia="黑体" w:cs="黑体"/>
          <w:color w:val="000000"/>
          <w:sz w:val="32"/>
        </w:rPr>
        <w:t>、名词解释</w:t>
      </w:r>
      <w:bookmarkEnd w:id="17"/>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8" w:name="_Toc_3_3_0000000020"/>
      <w:r>
        <w:rPr>
          <w:rFonts w:ascii="黑体" w:hAnsi="黑体" w:eastAsia="黑体" w:cs="黑体"/>
          <w:color w:val="000000"/>
          <w:sz w:val="32"/>
        </w:rPr>
        <w:t>十、其他需要说明的事项</w:t>
      </w:r>
      <w:bookmarkEnd w:id="18"/>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zBiNDczMDhjMDg5M2I1YTQxOGJjZDAwMTc0NTVmZjcifQ=="/>
  </w:docVars>
  <w:rsids>
    <w:rsidRoot w:val="00F220FC"/>
    <w:rsid w:val="00466731"/>
    <w:rsid w:val="00CF115A"/>
    <w:rsid w:val="00F220FC"/>
    <w:rsid w:val="0AE962F7"/>
    <w:rsid w:val="0E277D97"/>
    <w:rsid w:val="14097EB1"/>
    <w:rsid w:val="28FD2D71"/>
    <w:rsid w:val="6CBB1214"/>
    <w:rsid w:val="75B73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9"/>
    <w:autoRedefine/>
    <w:semiHidden/>
    <w:unhideWhenUsed/>
    <w:qFormat/>
    <w:uiPriority w:val="99"/>
    <w:pPr>
      <w:tabs>
        <w:tab w:val="center" w:pos="4153"/>
        <w:tab w:val="right" w:pos="8306"/>
      </w:tabs>
      <w:snapToGrid w:val="0"/>
    </w:pPr>
    <w:rPr>
      <w:sz w:val="18"/>
      <w:szCs w:val="18"/>
    </w:rPr>
  </w:style>
  <w:style w:type="paragraph" w:styleId="3">
    <w:name w:val="header"/>
    <w:basedOn w:val="1"/>
    <w:link w:val="2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8">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9">
    <w:name w:val="单元格样式20"/>
    <w:basedOn w:val="1"/>
    <w:autoRedefine/>
    <w:qFormat/>
    <w:uiPriority w:val="0"/>
    <w:rPr>
      <w:rFonts w:ascii="方正小标宋_GBK" w:hAnsi="方正小标宋_GBK" w:eastAsia="方正小标宋_GBK" w:cs="方正小标宋_GBK"/>
    </w:rPr>
  </w:style>
  <w:style w:type="paragraph" w:customStyle="1" w:styleId="10">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1">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2">
    <w:name w:val="单元格样式2"/>
    <w:basedOn w:val="1"/>
    <w:autoRedefine/>
    <w:qFormat/>
    <w:uiPriority w:val="0"/>
    <w:rPr>
      <w:rFonts w:ascii="方正书宋_GBK" w:hAnsi="方正书宋_GBK" w:eastAsia="方正书宋_GBK" w:cs="方正书宋_GBK"/>
      <w:sz w:val="21"/>
    </w:rPr>
  </w:style>
  <w:style w:type="paragraph" w:customStyle="1" w:styleId="13">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4">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6">
    <w:name w:val="单元格样式5"/>
    <w:basedOn w:val="1"/>
    <w:autoRedefine/>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autoRedefine/>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4">
    <w:name w:val="单元格样式23"/>
    <w:basedOn w:val="1"/>
    <w:autoRedefine/>
    <w:qFormat/>
    <w:uiPriority w:val="0"/>
    <w:pPr>
      <w:jc w:val="right"/>
    </w:pPr>
    <w:rPr>
      <w:rFonts w:ascii="方正书宋_GBK" w:hAnsi="方正书宋_GBK" w:eastAsia="方正书宋_GBK" w:cs="方正书宋_GBK"/>
    </w:rPr>
  </w:style>
  <w:style w:type="paragraph" w:customStyle="1" w:styleId="25">
    <w:name w:val="TOC 2"/>
    <w:basedOn w:val="1"/>
    <w:autoRedefine/>
    <w:qFormat/>
    <w:uiPriority w:val="0"/>
    <w:pPr>
      <w:ind w:left="240"/>
    </w:pPr>
  </w:style>
  <w:style w:type="paragraph" w:customStyle="1" w:styleId="26">
    <w:name w:val="TOC 3"/>
    <w:basedOn w:val="1"/>
    <w:qFormat/>
    <w:uiPriority w:val="0"/>
    <w:pPr>
      <w:ind w:left="480"/>
    </w:pPr>
  </w:style>
  <w:style w:type="paragraph" w:customStyle="1" w:styleId="27">
    <w:name w:val="TOC 1"/>
    <w:basedOn w:val="1"/>
    <w:autoRedefine/>
    <w:qFormat/>
    <w:uiPriority w:val="0"/>
    <w:pPr>
      <w:spacing w:before="120"/>
      <w:ind w:firstLine="560"/>
    </w:pPr>
    <w:rPr>
      <w:rFonts w:eastAsia="方正仿宋_GBK"/>
      <w:color w:val="000000"/>
      <w:sz w:val="28"/>
    </w:rPr>
  </w:style>
  <w:style w:type="character" w:customStyle="1" w:styleId="28">
    <w:name w:val="页眉 Char"/>
    <w:basedOn w:val="6"/>
    <w:link w:val="3"/>
    <w:autoRedefine/>
    <w:semiHidden/>
    <w:qFormat/>
    <w:uiPriority w:val="99"/>
    <w:rPr>
      <w:rFonts w:eastAsia="Times New Roman"/>
      <w:sz w:val="18"/>
      <w:szCs w:val="18"/>
      <w:lang w:eastAsia="uk-UA"/>
    </w:rPr>
  </w:style>
  <w:style w:type="character" w:customStyle="1" w:styleId="29">
    <w:name w:val="页脚 Char"/>
    <w:basedOn w:val="6"/>
    <w:link w:val="2"/>
    <w:autoRedefine/>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4" Type="http://schemas.openxmlformats.org/officeDocument/2006/relationships/fontTable" Target="fontTable.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2024-02-04T14:43:32Z</dcterms:created>
  <dcterms:modified xsi:type="dcterms:W3CDTF">2024-02-04T06:43:32Z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2024-02-04T14:43:33Z</dcterms:created>
  <dcterms:modified xsi:type="dcterms:W3CDTF">2024-02-04T06:43:33Z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2024-02-04T14:43:34Z</dcterms:created>
  <dcterms:modified xsi:type="dcterms:W3CDTF">2024-02-04T06:43:34Z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2024-02-04T14:43:31Z</dcterms:created>
  <dcterms:modified xsi:type="dcterms:W3CDTF">2024-02-04T06:43:31Z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2024-02-04T14:43:33Z</dcterms:created>
  <dcterms:modified xsi:type="dcterms:W3CDTF">2024-02-04T06:43:33Z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2024-02-04T14:43:33Z</dcterms:created>
  <dcterms:modified xsi:type="dcterms:W3CDTF">2024-02-04T06:43:33Z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2024-02-04T14:43:35Z</dcterms:created>
  <dcterms:modified xsi:type="dcterms:W3CDTF">2024-02-04T06:43:35Z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2024-02-04T14:43:32Z</dcterms:created>
  <dcterms:modified xsi:type="dcterms:W3CDTF">2024-02-04T06:43:32Z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2024-02-04T14:43:33Z</dcterms:created>
  <dcterms:modified xsi:type="dcterms:W3CDTF">2024-02-04T06:43:33Z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2024-02-04T14:43:31Z</dcterms:created>
  <dcterms:modified xsi:type="dcterms:W3CDTF">2024-02-04T06:43:31Z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2024-02-04T14:43:34Z</dcterms:created>
  <dcterms:modified xsi:type="dcterms:W3CDTF">2024-02-04T06:43:34Z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2024-02-04T14:43:32Z</dcterms:created>
  <dcterms:modified xsi:type="dcterms:W3CDTF">2024-02-04T06:43:32Z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2024-02-04T14:43:31Z</dcterms:created>
  <dcterms:modified xsi:type="dcterms:W3CDTF">2024-02-04T06:43:31Z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2024-02-04T14:43:29Z</dcterms:created>
  <dcterms:modified xsi:type="dcterms:W3CDTF">2024-02-04T06:43:29Z</dcterms:modified>
</cp:coreProperties>
</file>

<file path=customXml/itemProps1.xml><?xml version="1.0" encoding="utf-8"?>
<ds:datastoreItem xmlns:ds="http://schemas.openxmlformats.org/officeDocument/2006/customXml" ds:itemID="{EED1D366-DFA1-4B7E-8CB0-2CC1F321E062}">
  <ds:schemaRefs/>
</ds:datastoreItem>
</file>

<file path=customXml/itemProps10.xml><?xml version="1.0" encoding="utf-8"?>
<ds:datastoreItem xmlns:ds="http://schemas.openxmlformats.org/officeDocument/2006/customXml" ds:itemID="{CB93945C-1F92-478A-BE7C-EB2720C7AEC8}">
  <ds:schemaRefs/>
</ds:datastoreItem>
</file>

<file path=customXml/itemProps11.xml><?xml version="1.0" encoding="utf-8"?>
<ds:datastoreItem xmlns:ds="http://schemas.openxmlformats.org/officeDocument/2006/customXml" ds:itemID="{49FB550F-66A7-4FE9-A90E-8686FBB060FA}">
  <ds:schemaRefs/>
</ds:datastoreItem>
</file>

<file path=customXml/itemProps12.xml><?xml version="1.0" encoding="utf-8"?>
<ds:datastoreItem xmlns:ds="http://schemas.openxmlformats.org/officeDocument/2006/customXml" ds:itemID="{AB4718D4-C335-4419-A8CC-93779B7A9F48}">
  <ds:schemaRefs/>
</ds:datastoreItem>
</file>

<file path=customXml/itemProps13.xml><?xml version="1.0" encoding="utf-8"?>
<ds:datastoreItem xmlns:ds="http://schemas.openxmlformats.org/officeDocument/2006/customXml" ds:itemID="{5742784D-23E9-4DF2-B382-EEDC721F83E1}">
  <ds:schemaRefs/>
</ds:datastoreItem>
</file>

<file path=customXml/itemProps14.xml><?xml version="1.0" encoding="utf-8"?>
<ds:datastoreItem xmlns:ds="http://schemas.openxmlformats.org/officeDocument/2006/customXml" ds:itemID="{EED3FD0F-AA3F-4B74-A190-9F2962E7B44B}">
  <ds:schemaRefs/>
</ds:datastoreItem>
</file>

<file path=customXml/itemProps15.xml><?xml version="1.0" encoding="utf-8"?>
<ds:datastoreItem xmlns:ds="http://schemas.openxmlformats.org/officeDocument/2006/customXml" ds:itemID="{0E9FD7D7-1FA4-4E9C-82AF-C7FFFAAD2FCE}">
  <ds:schemaRefs/>
</ds:datastoreItem>
</file>

<file path=customXml/itemProps16.xml><?xml version="1.0" encoding="utf-8"?>
<ds:datastoreItem xmlns:ds="http://schemas.openxmlformats.org/officeDocument/2006/customXml" ds:itemID="{8B2D5B81-D19F-4D4C-B2D1-5F128D0DAECE}">
  <ds:schemaRefs/>
</ds:datastoreItem>
</file>

<file path=customXml/itemProps17.xml><?xml version="1.0" encoding="utf-8"?>
<ds:datastoreItem xmlns:ds="http://schemas.openxmlformats.org/officeDocument/2006/customXml" ds:itemID="{BE686C1A-2D38-412F-A725-9B8E54ED4236}">
  <ds:schemaRefs/>
</ds:datastoreItem>
</file>

<file path=customXml/itemProps18.xml><?xml version="1.0" encoding="utf-8"?>
<ds:datastoreItem xmlns:ds="http://schemas.openxmlformats.org/officeDocument/2006/customXml" ds:itemID="{A270DCFA-052F-460D-89C6-3C09CB84DDDC}">
  <ds:schemaRefs/>
</ds:datastoreItem>
</file>

<file path=customXml/itemProps19.xml><?xml version="1.0" encoding="utf-8"?>
<ds:datastoreItem xmlns:ds="http://schemas.openxmlformats.org/officeDocument/2006/customXml" ds:itemID="{379BBB00-9E8C-4391-AF77-F24297839C78}">
  <ds:schemaRefs/>
</ds:datastoreItem>
</file>

<file path=customXml/itemProps2.xml><?xml version="1.0" encoding="utf-8"?>
<ds:datastoreItem xmlns:ds="http://schemas.openxmlformats.org/officeDocument/2006/customXml" ds:itemID="{E034E755-9FE2-4AAD-BC73-6A10A4765070}">
  <ds:schemaRefs/>
</ds:datastoreItem>
</file>

<file path=customXml/itemProps20.xml><?xml version="1.0" encoding="utf-8"?>
<ds:datastoreItem xmlns:ds="http://schemas.openxmlformats.org/officeDocument/2006/customXml" ds:itemID="{087D6389-A38B-4AB4-A164-2EB1217703DA}">
  <ds:schemaRefs/>
</ds:datastoreItem>
</file>

<file path=customXml/itemProps21.xml><?xml version="1.0" encoding="utf-8"?>
<ds:datastoreItem xmlns:ds="http://schemas.openxmlformats.org/officeDocument/2006/customXml" ds:itemID="{44DFFCCC-90C7-4A9B-AB5F-937EF0E2FD23}">
  <ds:schemaRefs/>
</ds:datastoreItem>
</file>

<file path=customXml/itemProps22.xml><?xml version="1.0" encoding="utf-8"?>
<ds:datastoreItem xmlns:ds="http://schemas.openxmlformats.org/officeDocument/2006/customXml" ds:itemID="{ED7E5603-1508-4B88-A0CA-DF0F8A3087DF}">
  <ds:schemaRefs/>
</ds:datastoreItem>
</file>

<file path=customXml/itemProps23.xml><?xml version="1.0" encoding="utf-8"?>
<ds:datastoreItem xmlns:ds="http://schemas.openxmlformats.org/officeDocument/2006/customXml" ds:itemID="{10D1F94B-638D-4020-85BE-4977AFE33506}">
  <ds:schemaRefs/>
</ds:datastoreItem>
</file>

<file path=customXml/itemProps24.xml><?xml version="1.0" encoding="utf-8"?>
<ds:datastoreItem xmlns:ds="http://schemas.openxmlformats.org/officeDocument/2006/customXml" ds:itemID="{293FC037-2709-4E01-982A-5E611AAE563D}">
  <ds:schemaRefs/>
</ds:datastoreItem>
</file>

<file path=customXml/itemProps25.xml><?xml version="1.0" encoding="utf-8"?>
<ds:datastoreItem xmlns:ds="http://schemas.openxmlformats.org/officeDocument/2006/customXml" ds:itemID="{3772C29F-DE49-46C0-B34C-591B41FD0A6B}">
  <ds:schemaRefs/>
</ds:datastoreItem>
</file>

<file path=customXml/itemProps26.xml><?xml version="1.0" encoding="utf-8"?>
<ds:datastoreItem xmlns:ds="http://schemas.openxmlformats.org/officeDocument/2006/customXml" ds:itemID="{59D5B123-C784-4902-850E-13D8DE2D82C4}">
  <ds:schemaRefs/>
</ds:datastoreItem>
</file>

<file path=customXml/itemProps27.xml><?xml version="1.0" encoding="utf-8"?>
<ds:datastoreItem xmlns:ds="http://schemas.openxmlformats.org/officeDocument/2006/customXml" ds:itemID="{168608B7-8C0D-44BA-9EE7-A05E3633D675}">
  <ds:schemaRefs/>
</ds:datastoreItem>
</file>

<file path=customXml/itemProps28.xml><?xml version="1.0" encoding="utf-8"?>
<ds:datastoreItem xmlns:ds="http://schemas.openxmlformats.org/officeDocument/2006/customXml" ds:itemID="{4648D103-090B-452D-8408-FC0BED47B117}">
  <ds:schemaRefs/>
</ds:datastoreItem>
</file>

<file path=customXml/itemProps3.xml><?xml version="1.0" encoding="utf-8"?>
<ds:datastoreItem xmlns:ds="http://schemas.openxmlformats.org/officeDocument/2006/customXml" ds:itemID="{F98B5689-3442-420E-B600-0019AD03F0CA}">
  <ds:schemaRefs/>
</ds:datastoreItem>
</file>

<file path=customXml/itemProps4.xml><?xml version="1.0" encoding="utf-8"?>
<ds:datastoreItem xmlns:ds="http://schemas.openxmlformats.org/officeDocument/2006/customXml" ds:itemID="{E0D9B806-7877-468C-A446-2A0728F1F527}">
  <ds:schemaRefs/>
</ds:datastoreItem>
</file>

<file path=customXml/itemProps5.xml><?xml version="1.0" encoding="utf-8"?>
<ds:datastoreItem xmlns:ds="http://schemas.openxmlformats.org/officeDocument/2006/customXml" ds:itemID="{81B5D56A-3157-4A2F-BB64-DC66B97D3520}">
  <ds:schemaRefs/>
</ds:datastoreItem>
</file>

<file path=customXml/itemProps6.xml><?xml version="1.0" encoding="utf-8"?>
<ds:datastoreItem xmlns:ds="http://schemas.openxmlformats.org/officeDocument/2006/customXml" ds:itemID="{BA7E8E2C-577F-412E-A388-E3756E9F23C3}">
  <ds:schemaRefs/>
</ds:datastoreItem>
</file>

<file path=customXml/itemProps7.xml><?xml version="1.0" encoding="utf-8"?>
<ds:datastoreItem xmlns:ds="http://schemas.openxmlformats.org/officeDocument/2006/customXml" ds:itemID="{CE865BF5-CB9E-43E3-9364-39943D5D6CE5}">
  <ds:schemaRefs/>
</ds:datastoreItem>
</file>

<file path=customXml/itemProps8.xml><?xml version="1.0" encoding="utf-8"?>
<ds:datastoreItem xmlns:ds="http://schemas.openxmlformats.org/officeDocument/2006/customXml" ds:itemID="{D7CE278C-CD30-417C-88CB-C1B5CBBF0AD5}">
  <ds:schemaRefs/>
</ds:datastoreItem>
</file>

<file path=customXml/itemProps9.xml><?xml version="1.0" encoding="utf-8"?>
<ds:datastoreItem xmlns:ds="http://schemas.openxmlformats.org/officeDocument/2006/customXml" ds:itemID="{F8E42996-7666-4F7B-BBB1-F91FD3FFAA0B}">
  <ds:schemaRefs/>
</ds:datastoreItem>
</file>

<file path=docProps/app.xml><?xml version="1.0" encoding="utf-8"?>
<Properties xmlns="http://schemas.openxmlformats.org/officeDocument/2006/extended-properties" xmlns:vt="http://schemas.openxmlformats.org/officeDocument/2006/docPropsVTypes">
  <Template>Normal</Template>
  <Pages>44</Pages>
  <Words>3336</Words>
  <Characters>19016</Characters>
  <Lines>158</Lines>
  <Paragraphs>44</Paragraphs>
  <TotalTime>7</TotalTime>
  <ScaleCrop>false</ScaleCrop>
  <LinksUpToDate>false</LinksUpToDate>
  <CharactersWithSpaces>22308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2024-02-04T14:43:00Z</dcterms:created>
  <dc:creator>Administrator</dc:creator>
  <cp:lastModifiedBy>lenovo67</cp:lastModifiedBy>
  <dcterms:modified xsi:type="dcterms:W3CDTF">2024-04-07T08:36:45Z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3EBEC8172C2B49A98F755C347F9A0B63_12</vt:lpwstr>
  </property>
</Properties>
</file>